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3D4E9" w14:textId="77777777" w:rsidR="00084208" w:rsidRPr="0060635E" w:rsidRDefault="005D08B4">
      <w:pPr>
        <w:jc w:val="center"/>
        <w:rPr>
          <w:rFonts w:ascii="Calibri Light" w:hAnsi="Calibri Light" w:cs="Calibri Light" w:hint="eastAsia"/>
          <w:iCs/>
          <w:color w:val="auto"/>
          <w:sz w:val="32"/>
          <w:szCs w:val="32"/>
        </w:rPr>
      </w:pPr>
      <w:r w:rsidRPr="0060635E">
        <w:rPr>
          <w:rFonts w:ascii="Calibri Light" w:hAnsi="Calibri Light" w:cs="Calibri Light"/>
          <w:iCs/>
          <w:color w:val="auto"/>
          <w:sz w:val="32"/>
          <w:szCs w:val="32"/>
        </w:rPr>
        <w:t>DATA PROCESSING AGREEMENT</w:t>
      </w:r>
    </w:p>
    <w:p w14:paraId="6F03D4EA" w14:textId="77777777" w:rsidR="00084208" w:rsidRPr="0060635E" w:rsidRDefault="005D08B4">
      <w:pPr>
        <w:jc w:val="center"/>
        <w:rPr>
          <w:rFonts w:ascii="Calibri Light" w:hAnsi="Calibri Light" w:cs="Calibri Light" w:hint="eastAsia"/>
          <w:iCs/>
          <w:color w:val="auto"/>
          <w:sz w:val="24"/>
        </w:rPr>
      </w:pPr>
      <w:r w:rsidRPr="0060635E">
        <w:rPr>
          <w:rFonts w:ascii="Calibri Light" w:hAnsi="Calibri Light" w:cs="Calibri Light"/>
          <w:iCs/>
          <w:color w:val="auto"/>
          <w:sz w:val="24"/>
        </w:rPr>
        <w:t>(pursuant to Article 28 of Regulation (EU) 2016/679)</w:t>
      </w:r>
    </w:p>
    <w:p w14:paraId="6F03D4EB" w14:textId="77777777" w:rsidR="00084208" w:rsidRDefault="00084208">
      <w:pPr>
        <w:jc w:val="both"/>
        <w:rPr>
          <w:rFonts w:ascii="Calibri Light" w:hAnsi="Calibri Light" w:cs="Calibri Light" w:hint="eastAsia"/>
          <w:bCs/>
          <w:szCs w:val="20"/>
        </w:rPr>
      </w:pPr>
    </w:p>
    <w:p w14:paraId="6F03D4ED"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RUM&amp;N S.a.s., with registered office in Reggio Emilia 42123 - Via Sant’Ambrogio n. 4/A, VAT No./Tax Code IT01916950353, certified email address (PEC): rumen@registerpec.it (hereinafter the "</w:t>
      </w:r>
      <w:r>
        <w:rPr>
          <w:rFonts w:ascii="Calibri Light" w:hAnsi="Calibri Light" w:cs="Calibri Light"/>
          <w:b/>
          <w:szCs w:val="20"/>
        </w:rPr>
        <w:t>Data Controller</w:t>
      </w:r>
      <w:r>
        <w:rPr>
          <w:rFonts w:ascii="Calibri Light" w:hAnsi="Calibri Light" w:cs="Calibri Light"/>
          <w:bCs/>
          <w:szCs w:val="20"/>
        </w:rPr>
        <w:t>")</w:t>
      </w:r>
    </w:p>
    <w:p w14:paraId="6F03D4EF"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and</w:t>
      </w:r>
    </w:p>
    <w:p w14:paraId="6F03D4F1" w14:textId="77777777" w:rsidR="00084208" w:rsidRDefault="005D08B4">
      <w:pPr>
        <w:jc w:val="both"/>
        <w:rPr>
          <w:rFonts w:ascii="Calibri Light" w:hAnsi="Calibri Light" w:cs="Calibri Light" w:hint="eastAsia"/>
          <w:bCs/>
          <w:szCs w:val="20"/>
        </w:rPr>
      </w:pPr>
      <w:r>
        <w:rPr>
          <w:rFonts w:ascii="Calibri Light" w:hAnsi="Calibri Light" w:cs="Calibri Light"/>
          <w:b/>
          <w:szCs w:val="20"/>
        </w:rPr>
        <w:t>________________</w:t>
      </w:r>
      <w:r>
        <w:rPr>
          <w:rFonts w:ascii="Calibri Light" w:hAnsi="Calibri Light" w:cs="Calibri Light"/>
          <w:bCs/>
          <w:szCs w:val="20"/>
          <w:highlight w:val="yellow"/>
        </w:rPr>
        <w:t>__</w:t>
      </w:r>
      <w:r>
        <w:rPr>
          <w:rFonts w:ascii="Calibri Light" w:hAnsi="Calibri Light" w:cs="Calibri Light"/>
          <w:bCs/>
          <w:szCs w:val="20"/>
        </w:rPr>
        <w:t>, with registered office</w:t>
      </w:r>
      <w:r>
        <w:rPr>
          <w:rFonts w:ascii="Calibri Light" w:hAnsi="Calibri Light" w:cs="Calibri Light"/>
          <w:bCs/>
          <w:szCs w:val="20"/>
          <w:highlight w:val="yellow"/>
        </w:rPr>
        <w:t xml:space="preserve"> in __________, Tax Code and VAT No. ____________</w:t>
      </w:r>
      <w:r>
        <w:rPr>
          <w:rFonts w:ascii="Calibri Light" w:hAnsi="Calibri Light" w:cs="Calibri Light"/>
          <w:bCs/>
          <w:szCs w:val="20"/>
        </w:rPr>
        <w:t xml:space="preserve"> (hereinafter the "</w:t>
      </w:r>
      <w:r>
        <w:rPr>
          <w:rFonts w:ascii="Calibri Light" w:hAnsi="Calibri Light" w:cs="Calibri Light"/>
          <w:b/>
          <w:szCs w:val="20"/>
        </w:rPr>
        <w:t>Data Processor</w:t>
      </w:r>
      <w:r>
        <w:rPr>
          <w:rFonts w:ascii="Calibri Light" w:hAnsi="Calibri Light" w:cs="Calibri Light"/>
          <w:bCs/>
          <w:szCs w:val="20"/>
        </w:rPr>
        <w:t>" or the "</w:t>
      </w:r>
      <w:r>
        <w:rPr>
          <w:rFonts w:ascii="Calibri Light" w:hAnsi="Calibri Light" w:cs="Calibri Light"/>
          <w:b/>
          <w:szCs w:val="20"/>
        </w:rPr>
        <w:t>Agent</w:t>
      </w:r>
      <w:r>
        <w:rPr>
          <w:rFonts w:ascii="Calibri Light" w:hAnsi="Calibri Light" w:cs="Calibri Light"/>
          <w:bCs/>
          <w:szCs w:val="20"/>
        </w:rPr>
        <w:t>")</w:t>
      </w:r>
    </w:p>
    <w:p w14:paraId="6F03D4F2" w14:textId="77777777" w:rsidR="00084208" w:rsidRDefault="00084208">
      <w:pPr>
        <w:jc w:val="both"/>
        <w:rPr>
          <w:rFonts w:ascii="Calibri Light" w:hAnsi="Calibri Light" w:cs="Calibri Light" w:hint="eastAsia"/>
          <w:bCs/>
          <w:szCs w:val="20"/>
        </w:rPr>
      </w:pPr>
    </w:p>
    <w:p w14:paraId="6F03D4F3"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(hereinafter jointly referred to as the "</w:t>
      </w:r>
      <w:r>
        <w:rPr>
          <w:rFonts w:ascii="Calibri Light" w:hAnsi="Calibri Light" w:cs="Calibri Light"/>
          <w:b/>
          <w:szCs w:val="20"/>
        </w:rPr>
        <w:t>Parties</w:t>
      </w:r>
      <w:r>
        <w:rPr>
          <w:rFonts w:ascii="Calibri Light" w:hAnsi="Calibri Light" w:cs="Calibri Light"/>
          <w:bCs/>
          <w:szCs w:val="20"/>
        </w:rPr>
        <w:t>").</w:t>
      </w:r>
    </w:p>
    <w:p w14:paraId="6F03D4F4" w14:textId="77777777" w:rsidR="00084208" w:rsidRDefault="00084208">
      <w:pPr>
        <w:jc w:val="both"/>
        <w:rPr>
          <w:rFonts w:ascii="Calibri Light" w:hAnsi="Calibri Light" w:cs="Calibri Light" w:hint="eastAsia"/>
          <w:bCs/>
          <w:szCs w:val="20"/>
        </w:rPr>
      </w:pPr>
    </w:p>
    <w:p w14:paraId="6F03D4F5"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WHEREAS:</w:t>
      </w:r>
    </w:p>
    <w:p w14:paraId="6F03D4F6" w14:textId="7F5EE332" w:rsidR="00084208" w:rsidRDefault="005D08B4">
      <w:pPr>
        <w:ind w:left="720" w:hanging="720"/>
        <w:jc w:val="both"/>
        <w:rPr>
          <w:rFonts w:ascii="Calibri Light" w:hAnsi="Calibri Light" w:cs="Calibri Light" w:hint="eastAsia"/>
          <w:bCs/>
          <w:szCs w:val="20"/>
        </w:rPr>
      </w:pPr>
      <w:r>
        <w:rPr>
          <w:rFonts w:ascii="Calibri Light" w:hAnsi="Calibri Light" w:cs="Calibri Light"/>
          <w:bCs/>
          <w:szCs w:val="20"/>
        </w:rPr>
        <w:t xml:space="preserve">(A) </w:t>
      </w:r>
      <w:r>
        <w:rPr>
          <w:rFonts w:ascii="Calibri Light" w:hAnsi="Calibri Light" w:cs="Calibri Light"/>
          <w:bCs/>
          <w:szCs w:val="20"/>
        </w:rPr>
        <w:tab/>
      </w:r>
      <w:r w:rsidR="00402868">
        <w:rPr>
          <w:rFonts w:ascii="Calibri Light" w:hAnsi="Calibri Light" w:cs="Calibri Light"/>
          <w:bCs/>
          <w:szCs w:val="20"/>
        </w:rPr>
        <w:t>RUM&amp;N S.a.s.</w:t>
      </w:r>
      <w:r>
        <w:rPr>
          <w:rFonts w:ascii="Calibri Light" w:hAnsi="Calibri Light" w:cs="Calibri Light"/>
          <w:bCs/>
          <w:szCs w:val="20"/>
        </w:rPr>
        <w:t xml:space="preserve"> and the Agent have entered into a partnership agreement (hereinafter the "Contract");</w:t>
      </w:r>
    </w:p>
    <w:p w14:paraId="6F03D4F7" w14:textId="77777777" w:rsidR="00084208" w:rsidRDefault="005D08B4">
      <w:pPr>
        <w:ind w:left="720" w:hanging="720"/>
        <w:jc w:val="both"/>
        <w:rPr>
          <w:rFonts w:ascii="Calibri Light" w:hAnsi="Calibri Light" w:cs="Calibri Light" w:hint="eastAsia"/>
          <w:bCs/>
          <w:szCs w:val="20"/>
        </w:rPr>
      </w:pPr>
      <w:r>
        <w:rPr>
          <w:rFonts w:ascii="Calibri Light" w:hAnsi="Calibri Light" w:cs="Calibri Light"/>
          <w:bCs/>
          <w:szCs w:val="20"/>
        </w:rPr>
        <w:t xml:space="preserve">(B) </w:t>
      </w:r>
      <w:r>
        <w:rPr>
          <w:rFonts w:ascii="Calibri Light" w:hAnsi="Calibri Light" w:cs="Calibri Light"/>
          <w:bCs/>
          <w:szCs w:val="20"/>
        </w:rPr>
        <w:tab/>
        <w:t>The Contract, which governs the commercial relationship between the Parties, forms an integral part of this Agreement;</w:t>
      </w:r>
    </w:p>
    <w:p w14:paraId="6F03D4F8" w14:textId="77777777" w:rsidR="00084208" w:rsidRDefault="005D08B4">
      <w:pPr>
        <w:ind w:left="720" w:hanging="720"/>
        <w:jc w:val="both"/>
        <w:rPr>
          <w:rFonts w:ascii="Calibri Light" w:hAnsi="Calibri Light" w:cs="Calibri Light" w:hint="eastAsia"/>
          <w:bCs/>
          <w:szCs w:val="20"/>
        </w:rPr>
      </w:pPr>
      <w:r>
        <w:rPr>
          <w:rFonts w:ascii="Calibri Light" w:hAnsi="Calibri Light" w:cs="Calibri Light"/>
          <w:bCs/>
          <w:szCs w:val="20"/>
        </w:rPr>
        <w:t xml:space="preserve">(C) </w:t>
      </w:r>
      <w:r>
        <w:rPr>
          <w:rFonts w:ascii="Calibri Light" w:hAnsi="Calibri Light" w:cs="Calibri Light"/>
          <w:bCs/>
          <w:szCs w:val="20"/>
        </w:rPr>
        <w:tab/>
      </w:r>
      <w:r>
        <w:rPr>
          <w:rFonts w:ascii="Calibri Light" w:hAnsi="Calibri Light" w:cs="Calibri Light"/>
          <w:bCs/>
          <w:szCs w:val="20"/>
        </w:rPr>
        <w:t>The Parties acknowledge and agree that the Agent, in carrying out the activities entrusted to it in accordance with the functions and duties previously agreed with the Data Controller, will process certain personal data on behalf of the Data Controller for the proper performance of the services covered by the Contract (hereinafter the "Services");</w:t>
      </w:r>
    </w:p>
    <w:p w14:paraId="6F03D4F9" w14:textId="77777777" w:rsidR="00084208" w:rsidRDefault="005D08B4">
      <w:pPr>
        <w:ind w:left="720" w:hanging="720"/>
        <w:jc w:val="both"/>
        <w:rPr>
          <w:rFonts w:ascii="Calibri Light" w:hAnsi="Calibri Light" w:cs="Calibri Light" w:hint="eastAsia"/>
          <w:bCs/>
          <w:szCs w:val="20"/>
        </w:rPr>
      </w:pPr>
      <w:r>
        <w:rPr>
          <w:rFonts w:ascii="Calibri Light" w:hAnsi="Calibri Light" w:cs="Calibri Light"/>
          <w:bCs/>
          <w:szCs w:val="20"/>
        </w:rPr>
        <w:t xml:space="preserve">(D) </w:t>
      </w:r>
      <w:r>
        <w:rPr>
          <w:rFonts w:ascii="Calibri Light" w:hAnsi="Calibri Light" w:cs="Calibri Light"/>
          <w:bCs/>
          <w:szCs w:val="20"/>
        </w:rPr>
        <w:tab/>
      </w:r>
      <w:r>
        <w:rPr>
          <w:rFonts w:ascii="Calibri Light" w:hAnsi="Calibri Light" w:cs="Calibri Light"/>
          <w:bCs/>
          <w:szCs w:val="20"/>
        </w:rPr>
        <w:t>In view of such processing, and in order to enable the Data Controller to comply with its obligations under Regulation (EU) 2016/679 (hereinafter the "GDPR") and any other applicable data protection legislation (together with the GDPR, "Applicable Law"), the Parties have agreed to enter into this Agreement;</w:t>
      </w:r>
    </w:p>
    <w:p w14:paraId="6F03D4FA" w14:textId="77777777" w:rsidR="00084208" w:rsidRDefault="005D08B4">
      <w:pPr>
        <w:ind w:left="720" w:hanging="720"/>
        <w:jc w:val="both"/>
        <w:rPr>
          <w:rFonts w:ascii="Calibri Light" w:hAnsi="Calibri Light" w:cs="Calibri Light" w:hint="eastAsia"/>
          <w:bCs/>
          <w:szCs w:val="20"/>
        </w:rPr>
      </w:pPr>
      <w:r>
        <w:rPr>
          <w:rFonts w:ascii="Calibri Light" w:hAnsi="Calibri Light" w:cs="Calibri Light"/>
          <w:bCs/>
          <w:szCs w:val="20"/>
        </w:rPr>
        <w:t xml:space="preserve">(E) </w:t>
      </w:r>
      <w:r>
        <w:rPr>
          <w:rFonts w:ascii="Calibri Light" w:hAnsi="Calibri Light" w:cs="Calibri Light"/>
          <w:bCs/>
          <w:szCs w:val="20"/>
        </w:rPr>
        <w:tab/>
      </w:r>
      <w:r>
        <w:rPr>
          <w:rFonts w:ascii="Calibri Light" w:hAnsi="Calibri Light" w:cs="Calibri Light"/>
          <w:bCs/>
          <w:szCs w:val="20"/>
        </w:rPr>
        <w:t>The Data Controller, having assessed the Agent's professional expertise and technical qualifications, considers that the Agent provides sufficient guarantees, pursuant to Article 28 of the GDPR, to implement appropriate technical and organizational measures to protect personal data in the performance of the Services, in accordance with the provisions of this Agreement;</w:t>
      </w:r>
    </w:p>
    <w:p w14:paraId="6F03D4FB" w14:textId="77777777" w:rsidR="00084208" w:rsidRDefault="005D08B4">
      <w:pPr>
        <w:ind w:left="720" w:hanging="720"/>
        <w:jc w:val="both"/>
        <w:rPr>
          <w:rFonts w:ascii="Calibri Light" w:hAnsi="Calibri Light" w:cs="Calibri Light" w:hint="eastAsia"/>
          <w:bCs/>
          <w:szCs w:val="20"/>
        </w:rPr>
      </w:pPr>
      <w:r>
        <w:rPr>
          <w:rFonts w:ascii="Calibri Light" w:hAnsi="Calibri Light" w:cs="Calibri Light"/>
          <w:bCs/>
          <w:szCs w:val="20"/>
        </w:rPr>
        <w:t xml:space="preserve">(F) </w:t>
      </w:r>
      <w:r>
        <w:rPr>
          <w:rFonts w:ascii="Calibri Light" w:hAnsi="Calibri Light" w:cs="Calibri Light"/>
          <w:bCs/>
          <w:szCs w:val="20"/>
        </w:rPr>
        <w:tab/>
        <w:t>By means of this Agreement, the Data Controller intends to appoint the Agent as data processor pursuant to Article 28 of the GDPR.</w:t>
      </w:r>
    </w:p>
    <w:p w14:paraId="6F03D4FC" w14:textId="77777777" w:rsidR="00084208" w:rsidRDefault="00084208">
      <w:pPr>
        <w:jc w:val="both"/>
        <w:rPr>
          <w:rFonts w:ascii="Calibri Light" w:hAnsi="Calibri Light" w:cs="Calibri Light" w:hint="eastAsia"/>
          <w:bCs/>
          <w:szCs w:val="20"/>
        </w:rPr>
      </w:pPr>
    </w:p>
    <w:p w14:paraId="6F03D4FE"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NOW, THEREFORE, the Data Controller hereby APPOINTS the Agent as </w:t>
      </w:r>
      <w:r>
        <w:rPr>
          <w:rFonts w:ascii="Calibri Light" w:hAnsi="Calibri Light" w:cs="Calibri Light"/>
          <w:b/>
          <w:szCs w:val="20"/>
        </w:rPr>
        <w:t>Data Processor</w:t>
      </w:r>
      <w:r>
        <w:rPr>
          <w:rFonts w:ascii="Calibri Light" w:hAnsi="Calibri Light" w:cs="Calibri Light"/>
          <w:bCs/>
          <w:szCs w:val="20"/>
        </w:rPr>
        <w:t xml:space="preserve"> and provides it with the detailed instructions set out below.</w:t>
      </w:r>
    </w:p>
    <w:p w14:paraId="6F03D4FF"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declares and warrants that it provides sufficient guarantees to implement appropriate technical and organizational measures, and anything else necessary, in such a manner that the processing meets the requirements of the GDPR and ensures the protection of the rights of data subjects. The Data Processor acknowledges that this appointment has been conferred on it precisely by reason of the professional qualities it has declared and demonstrated in terms of expertise and reliability. Accordi</w:t>
      </w:r>
      <w:r>
        <w:rPr>
          <w:rFonts w:ascii="Calibri Light" w:hAnsi="Calibri Light" w:cs="Calibri Light"/>
          <w:bCs/>
          <w:szCs w:val="20"/>
        </w:rPr>
        <w:t>ngly, the Data Processor shall promptly notify the Data Controller of any change affecting such requirements, so that the Data Controller may freely decide whether to terminate this Agreement.</w:t>
      </w:r>
    </w:p>
    <w:p w14:paraId="6F03D500"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By signing this Agreement, the Data Processor declares that it accepts all the terms set out below and undertakes to comply strictly with all instructions given by the Data Controller in this appointment, as well as with any further instructions that may be given in the course of the activities performed on its behalf.</w:t>
      </w:r>
    </w:p>
    <w:p w14:paraId="6F03D501" w14:textId="77777777" w:rsidR="00084208" w:rsidRDefault="00084208">
      <w:pPr>
        <w:jc w:val="both"/>
        <w:rPr>
          <w:rFonts w:ascii="Calibri Light" w:hAnsi="Calibri Light" w:cs="Calibri Light" w:hint="eastAsia"/>
          <w:bCs/>
          <w:szCs w:val="20"/>
        </w:rPr>
      </w:pPr>
    </w:p>
    <w:p w14:paraId="6F03D503"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1. Nature and Purpose of Personal Data Processing</w:t>
      </w:r>
    </w:p>
    <w:p w14:paraId="6F03D504"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is authorized to process, on behalf of the Data Controller, the personal data necessary to provide the Services as set out in the Contract, solely for the related purposes.</w:t>
      </w:r>
    </w:p>
    <w:p w14:paraId="6F03D505"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personal data that have been, or will in the future be, provided to or shared with the Data Processor have been lawfully collected on a valid legal basis.</w:t>
      </w:r>
    </w:p>
    <w:p w14:paraId="6F03D506"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All processing carried out by the Data Controller and the Data Processor shall comply with the GDPR, the Italian Personal Data Protection Code (Legislative Decree No. 196/2003, as amended by Legislative Decree No. 101/2018), where applicable, and all guidelines, opinions and statements of the European Data Protection Board and of the competent data protection supervisory authorities.</w:t>
      </w:r>
    </w:p>
    <w:p w14:paraId="6F03D507" w14:textId="77777777" w:rsidR="00084208" w:rsidRDefault="00084208">
      <w:pPr>
        <w:jc w:val="both"/>
        <w:rPr>
          <w:rFonts w:ascii="Calibri Light" w:hAnsi="Calibri Light" w:cs="Calibri Light" w:hint="eastAsia"/>
          <w:bCs/>
          <w:szCs w:val="20"/>
        </w:rPr>
      </w:pPr>
    </w:p>
    <w:p w14:paraId="6F03D509"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2. Categories of personal data and data subjects</w:t>
      </w:r>
    </w:p>
    <w:p w14:paraId="6F03D50A"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processing of personal data relating to the Services entrusted under the Contract concerns the following categories of data subjects:</w:t>
      </w:r>
    </w:p>
    <w:p w14:paraId="6F03D50B" w14:textId="77777777" w:rsidR="00084208" w:rsidRDefault="00084208">
      <w:pPr>
        <w:jc w:val="both"/>
        <w:rPr>
          <w:rFonts w:ascii="Calibri Light" w:hAnsi="Calibri Light" w:cs="Calibri Light" w:hint="eastAsia"/>
          <w:bCs/>
          <w:szCs w:val="20"/>
        </w:rPr>
      </w:pPr>
    </w:p>
    <w:p w14:paraId="6F03D50C"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           </w:t>
      </w:r>
      <w:r>
        <w:rPr>
          <w:rFonts w:ascii="Calibri Light" w:hAnsi="Calibri Light" w:cs="Calibri Light"/>
          <w:bCs/>
          <w:szCs w:val="20"/>
        </w:rPr>
        <w:tab/>
        <w:t>Clients, Prospects and Representatives</w:t>
      </w:r>
    </w:p>
    <w:p w14:paraId="6F03D50D" w14:textId="77777777" w:rsidR="00084208" w:rsidRDefault="00084208">
      <w:pPr>
        <w:ind w:firstLine="720"/>
        <w:jc w:val="both"/>
        <w:rPr>
          <w:rFonts w:ascii="Calibri Light" w:hAnsi="Calibri Light" w:cs="Calibri Light" w:hint="eastAsia"/>
          <w:bCs/>
          <w:szCs w:val="20"/>
        </w:rPr>
      </w:pPr>
    </w:p>
    <w:p w14:paraId="6F03D50E"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Categories of personal data:</w:t>
      </w:r>
    </w:p>
    <w:p w14:paraId="6F03D50F" w14:textId="4974D137" w:rsidR="00084208" w:rsidRDefault="005D08B4">
      <w:pPr>
        <w:ind w:left="720"/>
        <w:jc w:val="both"/>
        <w:rPr>
          <w:rFonts w:ascii="Calibri Light" w:hAnsi="Calibri Light" w:cs="Calibri Light" w:hint="eastAsia"/>
          <w:bCs/>
          <w:szCs w:val="20"/>
        </w:rPr>
      </w:pPr>
      <w:r>
        <w:rPr>
          <w:rFonts w:ascii="Calibri Light" w:hAnsi="Calibri Light" w:cs="Calibri Light"/>
          <w:bCs/>
          <w:szCs w:val="20"/>
        </w:rPr>
        <w:t>Common (non</w:t>
      </w:r>
      <w:r w:rsidR="0060635E">
        <w:rPr>
          <w:rFonts w:ascii="Calibri Light" w:hAnsi="Calibri Light" w:cs="Calibri Light"/>
          <w:bCs/>
          <w:szCs w:val="20"/>
        </w:rPr>
        <w:t xml:space="preserve"> </w:t>
      </w:r>
      <w:r w:rsidR="00E8277D">
        <w:rPr>
          <w:rFonts w:ascii="Calibri Light" w:hAnsi="Calibri Light" w:cs="Calibri Light"/>
          <w:bCs/>
          <w:szCs w:val="20"/>
        </w:rPr>
        <w:t>particular</w:t>
      </w:r>
      <w:r>
        <w:rPr>
          <w:rFonts w:ascii="Calibri Light" w:hAnsi="Calibri Light" w:cs="Calibri Light"/>
          <w:bCs/>
          <w:szCs w:val="20"/>
        </w:rPr>
        <w:t>) personal data, such as identification data, contact details including telephone numbers, qualifications, skills, enquiries and country</w:t>
      </w:r>
    </w:p>
    <w:p w14:paraId="6F03D510" w14:textId="77777777" w:rsidR="00084208" w:rsidRDefault="00084208">
      <w:pPr>
        <w:ind w:left="158"/>
        <w:jc w:val="both"/>
        <w:rPr>
          <w:rFonts w:ascii="Calibri Light" w:hAnsi="Calibri Light" w:cs="Calibri Light" w:hint="eastAsia"/>
          <w:bCs/>
          <w:szCs w:val="20"/>
        </w:rPr>
      </w:pPr>
      <w:bookmarkStart w:id="0" w:name="_heading=h.1fob9te"/>
      <w:bookmarkEnd w:id="0"/>
    </w:p>
    <w:p w14:paraId="6F03D511" w14:textId="77777777" w:rsidR="00084208" w:rsidRDefault="005D08B4">
      <w:pPr>
        <w:ind w:left="158"/>
        <w:jc w:val="both"/>
        <w:rPr>
          <w:rFonts w:ascii="Calibri Light" w:hAnsi="Calibri Light" w:cs="Calibri Light" w:hint="eastAsia"/>
          <w:b/>
          <w:szCs w:val="20"/>
        </w:rPr>
      </w:pPr>
      <w:r>
        <w:rPr>
          <w:rFonts w:ascii="Calibri Light" w:hAnsi="Calibri Light" w:cs="Calibri Light"/>
          <w:b/>
          <w:szCs w:val="20"/>
        </w:rPr>
        <w:t>3. Processing in Accordance with the Data Controller's Instructions</w:t>
      </w:r>
    </w:p>
    <w:p w14:paraId="6F03D512" w14:textId="77777777" w:rsidR="00084208" w:rsidRDefault="005D08B4">
      <w:pPr>
        <w:ind w:left="158"/>
        <w:jc w:val="both"/>
        <w:rPr>
          <w:rFonts w:ascii="Calibri Light" w:hAnsi="Calibri Light" w:cs="Calibri Light" w:hint="eastAsia"/>
          <w:bCs/>
          <w:szCs w:val="20"/>
        </w:rPr>
      </w:pPr>
      <w:r>
        <w:rPr>
          <w:rFonts w:ascii="Calibri Light" w:hAnsi="Calibri Light" w:cs="Calibri Light"/>
          <w:bCs/>
          <w:szCs w:val="20"/>
        </w:rPr>
        <w:t>The Data Processor warrants that:</w:t>
      </w:r>
    </w:p>
    <w:p w14:paraId="6F03D513" w14:textId="77777777" w:rsidR="00084208" w:rsidRDefault="005D08B4">
      <w:pPr>
        <w:ind w:left="720"/>
        <w:jc w:val="both"/>
        <w:rPr>
          <w:rFonts w:ascii="Calibri Light" w:hAnsi="Calibri Light" w:cs="Calibri Light" w:hint="eastAsia"/>
          <w:bCs/>
          <w:szCs w:val="20"/>
        </w:rPr>
      </w:pPr>
      <w:r>
        <w:rPr>
          <w:rFonts w:ascii="Calibri Light" w:hAnsi="Calibri Light" w:cs="Calibri Light"/>
          <w:bCs/>
          <w:szCs w:val="20"/>
        </w:rPr>
        <w:t>a)    it shall process personal data solely for the purpose of providing the Services and in accordance with any written agreements between the Parties, acting exclusively on the documented instructions of the Data Controller. In particular, the Data Processor shall not transfer personal data to third parties unless expressly authorized by the Data Controller;</w:t>
      </w:r>
    </w:p>
    <w:p w14:paraId="6F03D514" w14:textId="77777777" w:rsidR="00084208" w:rsidRDefault="005D08B4">
      <w:pPr>
        <w:ind w:left="158" w:firstLine="562"/>
        <w:jc w:val="both"/>
        <w:rPr>
          <w:rFonts w:ascii="Calibri Light" w:hAnsi="Calibri Light" w:cs="Calibri Light" w:hint="eastAsia"/>
          <w:bCs/>
          <w:szCs w:val="20"/>
        </w:rPr>
      </w:pPr>
      <w:r>
        <w:rPr>
          <w:rFonts w:ascii="Calibri Light" w:hAnsi="Calibri Light" w:cs="Calibri Light"/>
          <w:bCs/>
          <w:szCs w:val="20"/>
        </w:rPr>
        <w:t>b)   it shall not process personal data for its own purposes;</w:t>
      </w:r>
    </w:p>
    <w:p w14:paraId="6F03D515" w14:textId="77777777" w:rsidR="00084208" w:rsidRDefault="005D08B4">
      <w:pPr>
        <w:ind w:left="720"/>
        <w:jc w:val="both"/>
        <w:rPr>
          <w:rFonts w:ascii="Calibri Light" w:hAnsi="Calibri Light" w:cs="Calibri Light" w:hint="eastAsia"/>
          <w:bCs/>
          <w:szCs w:val="20"/>
        </w:rPr>
      </w:pPr>
      <w:r>
        <w:rPr>
          <w:rFonts w:ascii="Calibri Light" w:hAnsi="Calibri Light" w:cs="Calibri Light"/>
          <w:bCs/>
          <w:szCs w:val="20"/>
        </w:rPr>
        <w:t>c)    it shall immediately inform the Data Controller if, in its opinion: (i) any instruction given by the Data Controller infringes Applicable Law; or (ii) the Data Processor is subject to legal requirements that would make it impossible or unlawful, in whole or in part, to act in accordance with the instructions given by the Data Controller.</w:t>
      </w:r>
    </w:p>
    <w:p w14:paraId="6F03D516" w14:textId="77777777" w:rsidR="00084208" w:rsidRDefault="005D08B4">
      <w:pPr>
        <w:ind w:left="158"/>
        <w:jc w:val="both"/>
        <w:rPr>
          <w:rFonts w:ascii="Calibri Light" w:hAnsi="Calibri Light" w:cs="Calibri Light" w:hint="eastAsia"/>
          <w:bCs/>
          <w:szCs w:val="20"/>
        </w:rPr>
      </w:pPr>
      <w:r>
        <w:rPr>
          <w:rFonts w:ascii="Calibri Light" w:hAnsi="Calibri Light" w:cs="Calibri Light"/>
          <w:bCs/>
          <w:szCs w:val="20"/>
        </w:rPr>
        <w:t>In order to ensure compliance with the instructions given by the Data Controller, the Data Processor declares that it shall adopt appropriate procedures and any other technical measures suitable for implementing the above requirements, including:</w:t>
      </w:r>
    </w:p>
    <w:p w14:paraId="6F03D517" w14:textId="77777777" w:rsidR="00084208" w:rsidRDefault="005D08B4">
      <w:pPr>
        <w:ind w:left="713" w:hanging="555"/>
        <w:jc w:val="both"/>
        <w:rPr>
          <w:rFonts w:ascii="Calibri Light" w:hAnsi="Calibri Light" w:cs="Calibri Light" w:hint="eastAsia"/>
          <w:bCs/>
          <w:szCs w:val="20"/>
        </w:rPr>
      </w:pPr>
      <w:r>
        <w:rPr>
          <w:rFonts w:ascii="Calibri Light" w:hAnsi="Calibri Light" w:cs="Calibri Light"/>
          <w:bCs/>
          <w:szCs w:val="20"/>
        </w:rPr>
        <w:t xml:space="preserve">- </w:t>
      </w:r>
      <w:r>
        <w:rPr>
          <w:rFonts w:ascii="Calibri Light" w:hAnsi="Calibri Light" w:cs="Calibri Light"/>
          <w:bCs/>
          <w:szCs w:val="20"/>
        </w:rPr>
        <w:tab/>
        <w:t>Appropriate procedures to ensure that the rights of data subjects are respected and that their requests concerning their personal data are duly handled;</w:t>
      </w:r>
    </w:p>
    <w:p w14:paraId="6F03D518" w14:textId="77777777" w:rsidR="00084208" w:rsidRDefault="005D08B4">
      <w:pPr>
        <w:ind w:left="713" w:hanging="555"/>
        <w:jc w:val="both"/>
        <w:rPr>
          <w:rFonts w:ascii="Calibri Light" w:hAnsi="Calibri Light" w:cs="Calibri Light" w:hint="eastAsia"/>
          <w:bCs/>
          <w:szCs w:val="20"/>
        </w:rPr>
      </w:pPr>
      <w:r>
        <w:rPr>
          <w:rFonts w:ascii="Calibri Light" w:hAnsi="Calibri Light" w:cs="Calibri Light"/>
          <w:bCs/>
          <w:szCs w:val="20"/>
        </w:rPr>
        <w:t xml:space="preserve">- </w:t>
      </w:r>
      <w:r>
        <w:rPr>
          <w:rFonts w:ascii="Calibri Light" w:hAnsi="Calibri Light" w:cs="Calibri Light"/>
          <w:bCs/>
          <w:szCs w:val="20"/>
        </w:rPr>
        <w:tab/>
      </w:r>
      <w:r>
        <w:rPr>
          <w:rFonts w:ascii="Calibri Light" w:hAnsi="Calibri Light" w:cs="Calibri Light"/>
          <w:bCs/>
          <w:szCs w:val="20"/>
        </w:rPr>
        <w:t>Appropriate interfaces or support systems to provide data subjects with the information required by Applicable Law;</w:t>
      </w:r>
    </w:p>
    <w:p w14:paraId="6F03D519" w14:textId="77777777" w:rsidR="00084208" w:rsidRDefault="005D08B4">
      <w:pPr>
        <w:ind w:left="713" w:hanging="555"/>
        <w:jc w:val="both"/>
        <w:rPr>
          <w:rFonts w:ascii="Calibri Light" w:hAnsi="Calibri Light" w:cs="Calibri Light" w:hint="eastAsia"/>
          <w:bCs/>
          <w:szCs w:val="20"/>
        </w:rPr>
      </w:pPr>
      <w:r>
        <w:rPr>
          <w:rFonts w:ascii="Calibri Light" w:hAnsi="Calibri Light" w:cs="Calibri Light"/>
          <w:bCs/>
          <w:szCs w:val="20"/>
        </w:rPr>
        <w:t>-</w:t>
      </w:r>
      <w:r>
        <w:rPr>
          <w:rFonts w:ascii="Calibri Light" w:hAnsi="Calibri Light" w:cs="Calibri Light"/>
          <w:bCs/>
          <w:szCs w:val="20"/>
        </w:rPr>
        <w:tab/>
        <w:t xml:space="preserve"> Procedures to ensure that, at the Data Controller's request, the personal data of each data subject are updated, amended or rectified.</w:t>
      </w:r>
    </w:p>
    <w:p w14:paraId="6F03D51A" w14:textId="77777777" w:rsidR="00084208" w:rsidRDefault="005D08B4">
      <w:pPr>
        <w:ind w:left="158"/>
        <w:jc w:val="both"/>
        <w:rPr>
          <w:rFonts w:ascii="Calibri Light" w:hAnsi="Calibri Light" w:cs="Calibri Light" w:hint="eastAsia"/>
          <w:bCs/>
          <w:szCs w:val="20"/>
        </w:rPr>
      </w:pPr>
      <w:r>
        <w:rPr>
          <w:rFonts w:ascii="Calibri Light" w:hAnsi="Calibri Light" w:cs="Calibri Light"/>
          <w:bCs/>
          <w:szCs w:val="20"/>
        </w:rPr>
        <w:t>The Data Processor shall maintain a record of all categories of processing activities carried out on behalf of the Data Controller, pursuant to Article 30(2) of the GDPR, and shall make it available to the Data Controller upon request.</w:t>
      </w:r>
    </w:p>
    <w:p w14:paraId="6F03D51B" w14:textId="77777777" w:rsidR="00084208" w:rsidRDefault="00084208">
      <w:pPr>
        <w:jc w:val="both"/>
        <w:rPr>
          <w:rFonts w:ascii="Calibri Light" w:hAnsi="Calibri Light" w:cs="Calibri Light" w:hint="eastAsia"/>
          <w:bCs/>
          <w:szCs w:val="20"/>
        </w:rPr>
      </w:pPr>
    </w:p>
    <w:p w14:paraId="6F03D51C"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4. Technical and organizational measures</w:t>
      </w:r>
    </w:p>
    <w:p w14:paraId="6F03D51D"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shall adopt and maintain appropriate technical and organizational security measures to protect personal data against accidental or unlawful destruction or loss, damage, alteration, unauthorized disclosure or access and, in particular where the processing involves the transmission of data over a network, against all other unlawful forms of processing.</w:t>
      </w:r>
    </w:p>
    <w:p w14:paraId="6F03D51E"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Taking into account the state of the art, the nature of the personal data processed and of the specific processing operations, as well as the risks to the rights and freedoms of natural persons inherent in the processing of personal data, the Data Processor shall adopt and implement appropriate technical and organizational measures to ensure the security of any network, archive, platform or other system used (including, by way of example, measures designed to ensure the confidentiality of communications, so</w:t>
      </w:r>
      <w:r>
        <w:rPr>
          <w:rFonts w:ascii="Calibri Light" w:hAnsi="Calibri Light" w:cs="Calibri Light"/>
          <w:bCs/>
          <w:szCs w:val="20"/>
        </w:rPr>
        <w:t xml:space="preserve"> as to prevent their interception or any unauthorized access to any device or system), capable of minimizing the risk of intentional and/or accidental damage, loss of data, unauthorized access and/or processing not in accordance with the purposes of this Agreement.</w:t>
      </w:r>
    </w:p>
    <w:p w14:paraId="6F03D51F"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Accordingly, the Data Processor shall ensure, pursuant to Article 32 of the GDPR, the security of personal data (by means of adequate IT security systems and any other available technology) and the confidentiality, integrity and availability of the personal data processed, including through pseudonymization and encryption, as well as storage on secure digital and/or electronic storage systems, PCs, servers, cloud storage, etc. A detailed description of the technical and organizational measures adopted shall</w:t>
      </w:r>
      <w:r>
        <w:rPr>
          <w:rFonts w:ascii="Calibri Light" w:hAnsi="Calibri Light" w:cs="Calibri Light"/>
          <w:bCs/>
          <w:szCs w:val="20"/>
        </w:rPr>
        <w:t xml:space="preserve"> be made available to the Data Controller upon request.</w:t>
      </w:r>
    </w:p>
    <w:p w14:paraId="6F03D520"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With regard to system administrators (hereinafter also "AdS"), the Data Processor shall:</w:t>
      </w:r>
    </w:p>
    <w:p w14:paraId="6F03D521" w14:textId="77777777" w:rsidR="00084208" w:rsidRDefault="005D08B4">
      <w:pPr>
        <w:pStyle w:val="Paragrafoelenco"/>
        <w:numPr>
          <w:ilvl w:val="0"/>
          <w:numId w:val="1"/>
        </w:numPr>
        <w:jc w:val="both"/>
        <w:rPr>
          <w:rFonts w:ascii="Calibri Light" w:hAnsi="Calibri Light" w:cs="Calibri Light"/>
          <w:bCs/>
          <w:sz w:val="20"/>
          <w:szCs w:val="18"/>
        </w:rPr>
      </w:pPr>
      <w:r>
        <w:rPr>
          <w:rFonts w:ascii="Calibri Light" w:hAnsi="Calibri Light" w:cs="Calibri Light"/>
          <w:bCs/>
          <w:sz w:val="20"/>
          <w:szCs w:val="18"/>
        </w:rPr>
        <w:t>have carefully selected the AdS on the basis of their experience, capability and reliability;</w:t>
      </w:r>
    </w:p>
    <w:p w14:paraId="6F03D522" w14:textId="77777777" w:rsidR="00084208" w:rsidRDefault="005D08B4">
      <w:pPr>
        <w:pStyle w:val="Paragrafoelenco"/>
        <w:numPr>
          <w:ilvl w:val="0"/>
          <w:numId w:val="1"/>
        </w:numPr>
        <w:jc w:val="both"/>
        <w:rPr>
          <w:rFonts w:ascii="Calibri Light" w:hAnsi="Calibri Light" w:cs="Calibri Light"/>
          <w:bCs/>
          <w:sz w:val="20"/>
          <w:szCs w:val="18"/>
        </w:rPr>
      </w:pPr>
      <w:r>
        <w:rPr>
          <w:rFonts w:ascii="Calibri Light" w:hAnsi="Calibri Light" w:cs="Calibri Light"/>
          <w:bCs/>
          <w:sz w:val="20"/>
          <w:szCs w:val="18"/>
        </w:rPr>
        <w:t>have appointed the individuals designated to perform such activities by means of a specific written deed, countersigned by them;</w:t>
      </w:r>
    </w:p>
    <w:p w14:paraId="6F03D523" w14:textId="77777777" w:rsidR="00084208" w:rsidRDefault="005D08B4">
      <w:pPr>
        <w:pStyle w:val="Paragrafoelenco"/>
        <w:numPr>
          <w:ilvl w:val="0"/>
          <w:numId w:val="1"/>
        </w:numPr>
        <w:jc w:val="both"/>
        <w:rPr>
          <w:rFonts w:ascii="Calibri Light" w:hAnsi="Calibri Light" w:cs="Calibri Light"/>
          <w:bCs/>
          <w:sz w:val="20"/>
          <w:szCs w:val="18"/>
        </w:rPr>
      </w:pPr>
      <w:r>
        <w:rPr>
          <w:rFonts w:ascii="Calibri Light" w:hAnsi="Calibri Light" w:cs="Calibri Light"/>
          <w:bCs/>
          <w:sz w:val="20"/>
          <w:szCs w:val="18"/>
        </w:rPr>
        <w:t>have provided the AdS with written instructions;</w:t>
      </w:r>
    </w:p>
    <w:p w14:paraId="6F03D524" w14:textId="77777777" w:rsidR="00084208" w:rsidRDefault="005D08B4">
      <w:pPr>
        <w:pStyle w:val="Paragrafoelenco"/>
        <w:numPr>
          <w:ilvl w:val="0"/>
          <w:numId w:val="1"/>
        </w:numPr>
        <w:jc w:val="both"/>
        <w:rPr>
          <w:rFonts w:ascii="Calibri Light" w:hAnsi="Calibri Light" w:cs="Calibri Light"/>
          <w:bCs/>
          <w:sz w:val="20"/>
          <w:szCs w:val="18"/>
        </w:rPr>
      </w:pPr>
      <w:r>
        <w:rPr>
          <w:rFonts w:ascii="Calibri Light" w:hAnsi="Calibri Light" w:cs="Calibri Light"/>
          <w:bCs/>
          <w:sz w:val="20"/>
          <w:szCs w:val="18"/>
        </w:rPr>
        <w:t>keep, and provide upon request within 2 working days, an up-to-date list of the appointed AdS;</w:t>
      </w:r>
    </w:p>
    <w:p w14:paraId="6F03D525" w14:textId="77777777" w:rsidR="00084208" w:rsidRDefault="005D08B4">
      <w:pPr>
        <w:pStyle w:val="Paragrafoelenco"/>
        <w:numPr>
          <w:ilvl w:val="0"/>
          <w:numId w:val="1"/>
        </w:numPr>
        <w:jc w:val="both"/>
        <w:rPr>
          <w:rFonts w:ascii="Calibri Light" w:hAnsi="Calibri Light" w:cs="Calibri Light"/>
          <w:bCs/>
          <w:sz w:val="20"/>
          <w:szCs w:val="18"/>
        </w:rPr>
      </w:pPr>
      <w:r>
        <w:rPr>
          <w:rFonts w:ascii="Calibri Light" w:hAnsi="Calibri Light" w:cs="Calibri Light"/>
          <w:bCs/>
          <w:sz w:val="20"/>
          <w:szCs w:val="18"/>
        </w:rPr>
        <w:t>have adopted appropriate systems for logging the logical access of AdS to processing systems and electronic archives, ensuring that the logs are complete, unalterable, verifiable as to their integrity and adequate for the verification purposes for which they are required; the logs shall include timestamps and a description of the event that generated them and shall be retained for an appropriate period of no less than six months;</w:t>
      </w:r>
    </w:p>
    <w:p w14:paraId="6F03D526" w14:textId="77777777" w:rsidR="00084208" w:rsidRDefault="005D08B4">
      <w:pPr>
        <w:pStyle w:val="Paragrafoelenco"/>
        <w:numPr>
          <w:ilvl w:val="0"/>
          <w:numId w:val="1"/>
        </w:numPr>
        <w:jc w:val="both"/>
        <w:rPr>
          <w:rFonts w:ascii="Calibri Light" w:hAnsi="Calibri Light" w:cs="Calibri Light"/>
          <w:bCs/>
          <w:sz w:val="20"/>
          <w:szCs w:val="18"/>
        </w:rPr>
      </w:pPr>
      <w:r>
        <w:rPr>
          <w:rFonts w:ascii="Calibri Light" w:hAnsi="Calibri Light" w:cs="Calibri Light"/>
          <w:bCs/>
          <w:sz w:val="20"/>
          <w:szCs w:val="18"/>
        </w:rPr>
        <w:t>review the AdS access logs periodically, and at least once a year, to ensure that there are no anomalies.</w:t>
      </w:r>
    </w:p>
    <w:p w14:paraId="6F03D527"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lastRenderedPageBreak/>
        <w:t>With regard to the systems used for the processing covered by this Agreement, the Data Processor shall implement a procedure for mapping and reviewing data and databases, collecting all necessary information on the type of data and databases, with particular regard to the following activities:</w:t>
      </w:r>
    </w:p>
    <w:p w14:paraId="6F03D528"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Determine the nature and type of personal data processed;</w:t>
      </w:r>
    </w:p>
    <w:p w14:paraId="6F03D529"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Identify the categories of data subjects to whom such data relate (e.g., natural/legal persons);</w:t>
      </w:r>
    </w:p>
    <w:p w14:paraId="6F03D52A"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Determine the processing methods (e.g., automated/manual);</w:t>
      </w:r>
    </w:p>
    <w:p w14:paraId="6F03D52B"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Identify where the processing takes place, including both the processing in Italy of data held abroad and the transfer of personal data abroad, within the limits permitted by law;</w:t>
      </w:r>
    </w:p>
    <w:p w14:paraId="6F03D52C"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Identify the scope of any communication and dissemination of the data;</w:t>
      </w:r>
    </w:p>
    <w:p w14:paraId="6F03D52D"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 xml:space="preserve"> Identify the persons authorized to process the data;</w:t>
      </w:r>
    </w:p>
    <w:p w14:paraId="6F03D52E"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 xml:space="preserve"> Identify the location where the data is stored;</w:t>
      </w:r>
    </w:p>
    <w:p w14:paraId="6F03D52F"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 xml:space="preserve"> </w:t>
      </w:r>
      <w:r>
        <w:rPr>
          <w:rFonts w:ascii="Calibri Light" w:hAnsi="Calibri Light" w:cs="Calibri Light"/>
          <w:bCs/>
          <w:sz w:val="20"/>
          <w:szCs w:val="18"/>
        </w:rPr>
        <w:t>Verify the technical and organizational security measures in place to protect the data and information;</w:t>
      </w:r>
    </w:p>
    <w:p w14:paraId="6F03D530"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 xml:space="preserve"> Implement a security incident management procedure;</w:t>
      </w:r>
    </w:p>
    <w:p w14:paraId="6F03D531"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 xml:space="preserve"> Draft and periodically test a disaster recovery plan;</w:t>
      </w:r>
    </w:p>
    <w:p w14:paraId="6F03D532" w14:textId="77777777" w:rsidR="00084208" w:rsidRDefault="005D08B4">
      <w:pPr>
        <w:pStyle w:val="Paragrafoelenco"/>
        <w:numPr>
          <w:ilvl w:val="0"/>
          <w:numId w:val="2"/>
        </w:numPr>
        <w:jc w:val="both"/>
        <w:rPr>
          <w:rFonts w:ascii="Calibri Light" w:hAnsi="Calibri Light" w:cs="Calibri Light"/>
          <w:bCs/>
          <w:sz w:val="20"/>
          <w:szCs w:val="18"/>
        </w:rPr>
      </w:pPr>
      <w:r>
        <w:rPr>
          <w:rFonts w:ascii="Calibri Light" w:hAnsi="Calibri Light" w:cs="Calibri Light"/>
          <w:bCs/>
          <w:sz w:val="20"/>
          <w:szCs w:val="18"/>
        </w:rPr>
        <w:t xml:space="preserve"> Identify anything else the Data Controller deems necessary to implement the legal provisions on the processing and security of personal data, in particular to ensure compliance with the GDPR.</w:t>
      </w:r>
    </w:p>
    <w:p w14:paraId="6F03D533" w14:textId="77777777" w:rsidR="00084208" w:rsidRDefault="005D08B4">
      <w:pPr>
        <w:jc w:val="both"/>
        <w:rPr>
          <w:rFonts w:ascii="Calibri Light" w:hAnsi="Calibri Light" w:cs="Calibri Light" w:hint="eastAsia"/>
          <w:b/>
          <w:bCs/>
          <w:szCs w:val="20"/>
        </w:rPr>
      </w:pPr>
      <w:r>
        <w:rPr>
          <w:rFonts w:ascii="Calibri Light" w:hAnsi="Calibri Light" w:cs="Calibri Light"/>
          <w:b/>
          <w:bCs/>
          <w:szCs w:val="20"/>
        </w:rPr>
        <w:t>5. Persons authorized to process personal data</w:t>
      </w:r>
    </w:p>
    <w:p w14:paraId="6F03D534" w14:textId="77777777" w:rsidR="00084208" w:rsidRDefault="005D08B4">
      <w:pPr>
        <w:jc w:val="both"/>
        <w:rPr>
          <w:rFonts w:ascii="Calibri Light" w:hAnsi="Calibri Light" w:cs="Calibri Light" w:hint="eastAsia"/>
          <w:szCs w:val="20"/>
        </w:rPr>
      </w:pPr>
      <w:r>
        <w:rPr>
          <w:rFonts w:ascii="Calibri Light" w:hAnsi="Calibri Light" w:cs="Calibri Light"/>
          <w:szCs w:val="20"/>
        </w:rPr>
        <w:t xml:space="preserve">The Data Processor guarantees the reliability of any employees and collaborators (including any Sub-Processors) who have access to personal data. The Data Processor further ensures that such persons have been authorized in writing, have received comprehensive instructions and adequate training on the protection and handling of personal data, and are bound by an appropriate obligation of confidentiality in respect of the personal data processed under this Agreement. In any event, the Data Processor shall be </w:t>
      </w:r>
      <w:r>
        <w:rPr>
          <w:rFonts w:ascii="Calibri Light" w:hAnsi="Calibri Light" w:cs="Calibri Light"/>
          <w:szCs w:val="20"/>
        </w:rPr>
        <w:t>directly liable for any unauthorized disclosure of personal data by such persons.</w:t>
      </w:r>
    </w:p>
    <w:p w14:paraId="6F03D535" w14:textId="77777777" w:rsidR="00084208" w:rsidRDefault="00084208">
      <w:pPr>
        <w:jc w:val="both"/>
        <w:rPr>
          <w:rFonts w:ascii="Calibri Light" w:hAnsi="Calibri Light" w:cs="Calibri Light" w:hint="eastAsia"/>
          <w:b/>
          <w:bCs/>
          <w:szCs w:val="20"/>
        </w:rPr>
      </w:pPr>
    </w:p>
    <w:p w14:paraId="6F03D536"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6. Transfers of personal data outside the European Economic Area</w:t>
      </w:r>
    </w:p>
    <w:p w14:paraId="6F03D537"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shall not transfer the personal data covered by this Agreement to countries outside the European Economic Area without the express prior authorization of the Data Controller, which may be granted at its sole discretion and, in any event, only after verifying compliance with the conditions laid down in Chapter V of the GDPR.</w:t>
      </w:r>
    </w:p>
    <w:p w14:paraId="6F03D538" w14:textId="77777777" w:rsidR="00084208" w:rsidRDefault="00084208">
      <w:pPr>
        <w:jc w:val="both"/>
        <w:rPr>
          <w:rFonts w:ascii="Calibri Light" w:hAnsi="Calibri Light" w:cs="Calibri Light" w:hint="eastAsia"/>
          <w:b/>
          <w:bCs/>
          <w:szCs w:val="20"/>
        </w:rPr>
      </w:pPr>
    </w:p>
    <w:p w14:paraId="6F03D539" w14:textId="77777777" w:rsidR="00084208" w:rsidRDefault="005D08B4">
      <w:pPr>
        <w:jc w:val="both"/>
        <w:rPr>
          <w:rFonts w:ascii="Calibri Light" w:hAnsi="Calibri Light" w:cs="Calibri Light" w:hint="eastAsia"/>
          <w:b/>
          <w:bCs/>
          <w:szCs w:val="20"/>
        </w:rPr>
      </w:pPr>
      <w:r>
        <w:rPr>
          <w:rFonts w:ascii="Calibri Light" w:hAnsi="Calibri Light" w:cs="Calibri Light"/>
          <w:b/>
          <w:bCs/>
          <w:szCs w:val="20"/>
        </w:rPr>
        <w:t>7. Sub-Processors</w:t>
      </w:r>
    </w:p>
    <w:p w14:paraId="6F03D53A" w14:textId="77777777" w:rsidR="00084208" w:rsidRDefault="005D08B4">
      <w:pPr>
        <w:jc w:val="both"/>
        <w:rPr>
          <w:rFonts w:ascii="Calibri Light" w:hAnsi="Calibri Light" w:cs="Calibri Light" w:hint="eastAsia"/>
          <w:b/>
          <w:bCs/>
          <w:szCs w:val="20"/>
        </w:rPr>
      </w:pPr>
      <w:r>
        <w:rPr>
          <w:rFonts w:ascii="Calibri Light" w:hAnsi="Calibri Light" w:cs="Calibri Light"/>
          <w:szCs w:val="20"/>
        </w:rPr>
        <w:t>For the provision of the Services covered by the Contract, the Data Processor engages the following Sub-Processors:</w:t>
      </w:r>
    </w:p>
    <w:tbl>
      <w:tblPr>
        <w:tblW w:w="10335" w:type="dxa"/>
        <w:tblLayout w:type="fixed"/>
        <w:tblLook w:val="0400" w:firstRow="0" w:lastRow="0" w:firstColumn="0" w:lastColumn="0" w:noHBand="0" w:noVBand="1"/>
      </w:tblPr>
      <w:tblGrid>
        <w:gridCol w:w="2430"/>
        <w:gridCol w:w="2100"/>
        <w:gridCol w:w="2116"/>
        <w:gridCol w:w="3689"/>
      </w:tblGrid>
      <w:tr w:rsidR="00084208" w14:paraId="6F03D53F" w14:textId="77777777">
        <w:tc>
          <w:tcPr>
            <w:tcW w:w="2429" w:type="dxa"/>
            <w:tcBorders>
              <w:top w:val="single" w:sz="4" w:space="0" w:color="000000"/>
              <w:left w:val="single" w:sz="4" w:space="0" w:color="000000"/>
              <w:bottom w:val="single" w:sz="4" w:space="0" w:color="000000"/>
              <w:right w:val="single" w:sz="4" w:space="0" w:color="000000"/>
            </w:tcBorders>
          </w:tcPr>
          <w:p w14:paraId="6F03D53B"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Name</w:t>
            </w:r>
          </w:p>
        </w:tc>
        <w:tc>
          <w:tcPr>
            <w:tcW w:w="2100" w:type="dxa"/>
            <w:tcBorders>
              <w:top w:val="single" w:sz="4" w:space="0" w:color="000000"/>
              <w:left w:val="single" w:sz="4" w:space="0" w:color="000000"/>
              <w:bottom w:val="single" w:sz="4" w:space="0" w:color="000000"/>
              <w:right w:val="single" w:sz="4" w:space="0" w:color="000000"/>
            </w:tcBorders>
          </w:tcPr>
          <w:p w14:paraId="6F03D53C"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Service provided</w:t>
            </w:r>
          </w:p>
        </w:tc>
        <w:tc>
          <w:tcPr>
            <w:tcW w:w="2116" w:type="dxa"/>
            <w:tcBorders>
              <w:top w:val="single" w:sz="4" w:space="0" w:color="000000"/>
              <w:left w:val="single" w:sz="4" w:space="0" w:color="000000"/>
              <w:bottom w:val="single" w:sz="4" w:space="0" w:color="000000"/>
              <w:right w:val="single" w:sz="4" w:space="0" w:color="000000"/>
            </w:tcBorders>
          </w:tcPr>
          <w:p w14:paraId="6F03D53D"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Registered office</w:t>
            </w:r>
          </w:p>
        </w:tc>
        <w:tc>
          <w:tcPr>
            <w:tcW w:w="3689" w:type="dxa"/>
            <w:tcBorders>
              <w:top w:val="single" w:sz="4" w:space="0" w:color="000000"/>
              <w:left w:val="single" w:sz="4" w:space="0" w:color="000000"/>
              <w:bottom w:val="single" w:sz="4" w:space="0" w:color="000000"/>
              <w:right w:val="single" w:sz="4" w:space="0" w:color="000000"/>
            </w:tcBorders>
          </w:tcPr>
          <w:p w14:paraId="6F03D53E"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Operational headquarters</w:t>
            </w:r>
          </w:p>
        </w:tc>
      </w:tr>
      <w:tr w:rsidR="00084208" w14:paraId="6F03D544" w14:textId="77777777">
        <w:tc>
          <w:tcPr>
            <w:tcW w:w="2429" w:type="dxa"/>
            <w:tcBorders>
              <w:top w:val="single" w:sz="4" w:space="0" w:color="000000"/>
              <w:left w:val="single" w:sz="4" w:space="0" w:color="000000"/>
              <w:bottom w:val="single" w:sz="4" w:space="0" w:color="000000"/>
              <w:right w:val="single" w:sz="4" w:space="0" w:color="000000"/>
            </w:tcBorders>
          </w:tcPr>
          <w:p w14:paraId="6F03D540" w14:textId="77777777" w:rsidR="00084208" w:rsidRDefault="00084208">
            <w:pPr>
              <w:jc w:val="both"/>
              <w:rPr>
                <w:rFonts w:ascii="Calibri Light" w:hAnsi="Calibri Light" w:cs="Calibri Light" w:hint="eastAsia"/>
                <w:bCs/>
                <w:szCs w:val="20"/>
              </w:rPr>
            </w:pPr>
          </w:p>
        </w:tc>
        <w:tc>
          <w:tcPr>
            <w:tcW w:w="2100" w:type="dxa"/>
            <w:tcBorders>
              <w:top w:val="single" w:sz="4" w:space="0" w:color="000000"/>
              <w:left w:val="single" w:sz="4" w:space="0" w:color="000000"/>
              <w:bottom w:val="single" w:sz="4" w:space="0" w:color="000000"/>
              <w:right w:val="single" w:sz="4" w:space="0" w:color="000000"/>
            </w:tcBorders>
          </w:tcPr>
          <w:p w14:paraId="6F03D541" w14:textId="77777777" w:rsidR="00084208" w:rsidRDefault="00084208">
            <w:pPr>
              <w:jc w:val="both"/>
              <w:rPr>
                <w:rFonts w:ascii="Calibri Light" w:hAnsi="Calibri Light" w:cs="Calibri Light" w:hint="eastAsia"/>
                <w:bCs/>
                <w:szCs w:val="20"/>
              </w:rPr>
            </w:pPr>
          </w:p>
        </w:tc>
        <w:tc>
          <w:tcPr>
            <w:tcW w:w="2116" w:type="dxa"/>
            <w:tcBorders>
              <w:top w:val="single" w:sz="4" w:space="0" w:color="000000"/>
              <w:left w:val="single" w:sz="4" w:space="0" w:color="000000"/>
              <w:bottom w:val="single" w:sz="4" w:space="0" w:color="000000"/>
              <w:right w:val="single" w:sz="4" w:space="0" w:color="000000"/>
            </w:tcBorders>
          </w:tcPr>
          <w:p w14:paraId="6F03D542" w14:textId="77777777" w:rsidR="00084208" w:rsidRDefault="00084208">
            <w:pPr>
              <w:jc w:val="both"/>
              <w:rPr>
                <w:rFonts w:ascii="Calibri Light" w:hAnsi="Calibri Light" w:cs="Calibri Light" w:hint="eastAsia"/>
                <w:bCs/>
                <w:szCs w:val="20"/>
              </w:rPr>
            </w:pPr>
          </w:p>
        </w:tc>
        <w:tc>
          <w:tcPr>
            <w:tcW w:w="3689" w:type="dxa"/>
            <w:tcBorders>
              <w:top w:val="single" w:sz="4" w:space="0" w:color="000000"/>
              <w:left w:val="single" w:sz="4" w:space="0" w:color="000000"/>
              <w:bottom w:val="single" w:sz="4" w:space="0" w:color="000000"/>
              <w:right w:val="single" w:sz="4" w:space="0" w:color="000000"/>
            </w:tcBorders>
          </w:tcPr>
          <w:p w14:paraId="6F03D543" w14:textId="77777777" w:rsidR="00084208" w:rsidRDefault="00084208">
            <w:pPr>
              <w:jc w:val="both"/>
              <w:rPr>
                <w:rFonts w:ascii="Calibri Light" w:hAnsi="Calibri Light" w:cs="Calibri Light" w:hint="eastAsia"/>
                <w:bCs/>
                <w:szCs w:val="20"/>
              </w:rPr>
            </w:pPr>
          </w:p>
        </w:tc>
      </w:tr>
      <w:tr w:rsidR="00084208" w14:paraId="6F03D549" w14:textId="77777777">
        <w:tc>
          <w:tcPr>
            <w:tcW w:w="2429" w:type="dxa"/>
            <w:tcBorders>
              <w:top w:val="single" w:sz="4" w:space="0" w:color="000000"/>
              <w:left w:val="single" w:sz="4" w:space="0" w:color="000000"/>
              <w:bottom w:val="single" w:sz="4" w:space="0" w:color="000000"/>
              <w:right w:val="single" w:sz="4" w:space="0" w:color="000000"/>
            </w:tcBorders>
          </w:tcPr>
          <w:p w14:paraId="6F03D545" w14:textId="77777777" w:rsidR="00084208" w:rsidRDefault="00084208">
            <w:pPr>
              <w:jc w:val="both"/>
              <w:rPr>
                <w:rFonts w:ascii="Calibri Light" w:hAnsi="Calibri Light" w:cs="Calibri Light" w:hint="eastAsia"/>
                <w:bCs/>
                <w:szCs w:val="20"/>
              </w:rPr>
            </w:pPr>
          </w:p>
        </w:tc>
        <w:tc>
          <w:tcPr>
            <w:tcW w:w="2100" w:type="dxa"/>
            <w:tcBorders>
              <w:top w:val="single" w:sz="4" w:space="0" w:color="000000"/>
              <w:left w:val="single" w:sz="4" w:space="0" w:color="000000"/>
              <w:bottom w:val="single" w:sz="4" w:space="0" w:color="000000"/>
              <w:right w:val="single" w:sz="4" w:space="0" w:color="000000"/>
            </w:tcBorders>
          </w:tcPr>
          <w:p w14:paraId="6F03D546" w14:textId="77777777" w:rsidR="00084208" w:rsidRDefault="00084208">
            <w:pPr>
              <w:jc w:val="both"/>
              <w:rPr>
                <w:rFonts w:ascii="Calibri Light" w:hAnsi="Calibri Light" w:cs="Calibri Light" w:hint="eastAsia"/>
                <w:bCs/>
                <w:szCs w:val="20"/>
              </w:rPr>
            </w:pPr>
          </w:p>
        </w:tc>
        <w:tc>
          <w:tcPr>
            <w:tcW w:w="2116" w:type="dxa"/>
            <w:tcBorders>
              <w:top w:val="single" w:sz="4" w:space="0" w:color="000000"/>
              <w:left w:val="single" w:sz="4" w:space="0" w:color="000000"/>
              <w:bottom w:val="single" w:sz="4" w:space="0" w:color="000000"/>
              <w:right w:val="single" w:sz="4" w:space="0" w:color="000000"/>
            </w:tcBorders>
          </w:tcPr>
          <w:p w14:paraId="6F03D547" w14:textId="77777777" w:rsidR="00084208" w:rsidRDefault="00084208">
            <w:pPr>
              <w:jc w:val="both"/>
              <w:rPr>
                <w:rFonts w:ascii="Calibri Light" w:hAnsi="Calibri Light" w:cs="Calibri Light" w:hint="eastAsia"/>
                <w:bCs/>
                <w:szCs w:val="20"/>
              </w:rPr>
            </w:pPr>
          </w:p>
        </w:tc>
        <w:tc>
          <w:tcPr>
            <w:tcW w:w="3689" w:type="dxa"/>
            <w:tcBorders>
              <w:top w:val="single" w:sz="4" w:space="0" w:color="000000"/>
              <w:left w:val="single" w:sz="4" w:space="0" w:color="000000"/>
              <w:bottom w:val="single" w:sz="4" w:space="0" w:color="000000"/>
              <w:right w:val="single" w:sz="4" w:space="0" w:color="000000"/>
            </w:tcBorders>
          </w:tcPr>
          <w:p w14:paraId="6F03D548" w14:textId="77777777" w:rsidR="00084208" w:rsidRDefault="00084208">
            <w:pPr>
              <w:jc w:val="both"/>
              <w:rPr>
                <w:rFonts w:ascii="Calibri Light" w:hAnsi="Calibri Light" w:cs="Calibri Light" w:hint="eastAsia"/>
                <w:bCs/>
                <w:szCs w:val="20"/>
              </w:rPr>
            </w:pPr>
          </w:p>
        </w:tc>
      </w:tr>
    </w:tbl>
    <w:p w14:paraId="6F03D54A" w14:textId="77777777" w:rsidR="00084208" w:rsidRDefault="00084208">
      <w:pPr>
        <w:jc w:val="both"/>
        <w:rPr>
          <w:rFonts w:ascii="Calibri Light" w:hAnsi="Calibri Light" w:cs="Calibri Light" w:hint="eastAsia"/>
          <w:bCs/>
          <w:szCs w:val="20"/>
        </w:rPr>
      </w:pPr>
    </w:p>
    <w:p w14:paraId="6F03D54B"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The Data Processor may subcontract or otherwise outsource any processing of personal data covered by this Agreement, including to companies belonging to the Data Processor's group, provided that it:  </w:t>
      </w:r>
    </w:p>
    <w:p w14:paraId="6F03D54C" w14:textId="77777777" w:rsidR="00084208" w:rsidRDefault="005D08B4">
      <w:pPr>
        <w:ind w:left="720"/>
        <w:jc w:val="both"/>
        <w:rPr>
          <w:rFonts w:ascii="Calibri Light" w:hAnsi="Calibri Light" w:cs="Calibri Light" w:hint="eastAsia"/>
          <w:bCs/>
          <w:szCs w:val="20"/>
        </w:rPr>
      </w:pPr>
      <w:r>
        <w:rPr>
          <w:rFonts w:ascii="Calibri Light" w:hAnsi="Calibri Light" w:cs="Calibri Light"/>
          <w:bCs/>
          <w:szCs w:val="20"/>
        </w:rPr>
        <w:t>i)   has notified the Data Controller in writing of the full name, registered office and operational headquarters of each Sub-Processor, together with any other information that may be necessary;</w:t>
      </w:r>
    </w:p>
    <w:p w14:paraId="6F03D54D" w14:textId="77777777" w:rsidR="00084208" w:rsidRDefault="005D08B4">
      <w:pPr>
        <w:ind w:left="720"/>
        <w:jc w:val="both"/>
        <w:rPr>
          <w:rFonts w:ascii="Calibri Light" w:hAnsi="Calibri Light" w:cs="Calibri Light" w:hint="eastAsia"/>
          <w:bCs/>
          <w:szCs w:val="20"/>
        </w:rPr>
      </w:pPr>
      <w:r>
        <w:rPr>
          <w:rFonts w:ascii="Calibri Light" w:hAnsi="Calibri Light" w:cs="Calibri Light"/>
          <w:bCs/>
          <w:szCs w:val="20"/>
        </w:rPr>
        <w:t>ii)   has obtained the written authorization of the Data Controller (which shall be deemed granted if no objection is raised within 15 days of the written notification);</w:t>
      </w:r>
    </w:p>
    <w:p w14:paraId="6F03D54E" w14:textId="77777777" w:rsidR="00084208" w:rsidRDefault="005D08B4">
      <w:pPr>
        <w:ind w:left="720"/>
        <w:jc w:val="both"/>
        <w:rPr>
          <w:rFonts w:ascii="Calibri Light" w:hAnsi="Calibri Light" w:cs="Calibri Light" w:hint="eastAsia"/>
          <w:bCs/>
          <w:szCs w:val="20"/>
        </w:rPr>
      </w:pPr>
      <w:r>
        <w:rPr>
          <w:rFonts w:ascii="Calibri Light" w:hAnsi="Calibri Light" w:cs="Calibri Light"/>
          <w:bCs/>
          <w:szCs w:val="20"/>
        </w:rPr>
        <w:t>iii)  ensures that each Sub-Processor is bound by data protection obligations no less stringent than those set out in this Agreement.</w:t>
      </w:r>
    </w:p>
    <w:p w14:paraId="6F03D54F" w14:textId="77777777" w:rsidR="00084208" w:rsidRDefault="00084208">
      <w:pPr>
        <w:ind w:left="720"/>
        <w:jc w:val="both"/>
        <w:rPr>
          <w:rFonts w:ascii="Calibri Light" w:hAnsi="Calibri Light" w:cs="Calibri Light" w:hint="eastAsia"/>
          <w:bCs/>
          <w:szCs w:val="20"/>
        </w:rPr>
      </w:pPr>
    </w:p>
    <w:p w14:paraId="6F03D550"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In any event, pursuant to Article 28(4) of the GDPR, the Data Processor shall remain fully liable to the Data Controller for any act or omission of a Sub-Processor or of any other third party engaged by it, irrespective of whether the Data Processor has complied with its own obligations under this Agreement.</w:t>
      </w:r>
    </w:p>
    <w:p w14:paraId="6F03D551" w14:textId="77777777" w:rsidR="00084208" w:rsidRDefault="00084208">
      <w:pPr>
        <w:jc w:val="both"/>
        <w:rPr>
          <w:rFonts w:ascii="Calibri Light" w:hAnsi="Calibri Light" w:cs="Calibri Light" w:hint="eastAsia"/>
          <w:b/>
          <w:bCs/>
          <w:szCs w:val="20"/>
        </w:rPr>
      </w:pPr>
    </w:p>
    <w:p w14:paraId="6F03D552"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 xml:space="preserve">8. Personal data breaches and related obligations </w:t>
      </w:r>
    </w:p>
    <w:p w14:paraId="6F03D553"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In order to enable the Data Controller to comply with Articles 33 and 34 of the GDPR, the Data Processor shall notify the Data Controller in writing without undue delay, and in any event no later than 24 (twenty-four) hours after becoming aware of it, of any breach of security leading to the accidental or unlawful destruction, loss, alteration, unauthorized disclosure of, or access to, personal data (hereinafter a "Personal Data Breach"), including any Personal Data Breach involving its Sub-Processors. </w:t>
      </w:r>
    </w:p>
    <w:p w14:paraId="6F03D554"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The notification shall contain: </w:t>
      </w:r>
    </w:p>
    <w:p w14:paraId="6F03D555"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lastRenderedPageBreak/>
        <w:t>(i) a detailed description of the Personal Data Breach; (ii) the categories of personal data concerned; and (iii) the categories and approximate number of data subjects and of personal data records concerned.</w:t>
      </w:r>
    </w:p>
    <w:p w14:paraId="6F03D556"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shall also communicate to the Data Controller: (i) the name and contact details of its Data Protection Officer or of another contact point where more information can be obtained; (ii) a description of the likely consequences of the Personal Data Breach; (iii) a description of the measures taken or proposed to be taken to address the Personal Data Breach, including, where appropriate, measures to mitigate its possible adverse effects; and (iv) as soon as possible, any further information c</w:t>
      </w:r>
      <w:r>
        <w:rPr>
          <w:rFonts w:ascii="Calibri Light" w:hAnsi="Calibri Light" w:cs="Calibri Light"/>
          <w:bCs/>
          <w:szCs w:val="20"/>
        </w:rPr>
        <w:t>ollected or made available, as well as any other information reasonably requested by the Data Controller in relation to the Personal Data Breach. Where, for reasons beyond its control, the Data Processor is unable to provide the above information at the same time, such information may be provided in phases as soon as possible.</w:t>
      </w:r>
    </w:p>
    <w:p w14:paraId="6F03D557"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The Data Processor shall take immediate action to investigate the Personal Data Breach and to identify, prevent and mitigate its adverse effects, in accordance with its obligations under this Article and, subject to agreement with the Data Controller, shall take any action necessary to remedy the breach. The Data Processor shall not issue or publish any press release, notice or report concerning the Personal Data Breach without the prior written consent of the Data Controller. </w:t>
      </w:r>
    </w:p>
    <w:p w14:paraId="6F03D558"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Where the Personal Data Breach results from a failure of the security measures adopted by the Data Processor, the actions and procedures described in this Article shall be carried out at the Data Processor's own expense, without prejudice to the Data Controller's right to seek any legal remedy in relation to the Personal Data Breach; in addition, the Data Processor shall pay or reimburse the Data Controller for all costs, losses and expenses incurred by it in preparing and issuing notifications to data subj</w:t>
      </w:r>
      <w:r>
        <w:rPr>
          <w:rFonts w:ascii="Calibri Light" w:hAnsi="Calibri Light" w:cs="Calibri Light"/>
          <w:bCs/>
          <w:szCs w:val="20"/>
        </w:rPr>
        <w:t>ects and in taking any other action necessary as a consequence of the Personal Data Breach.</w:t>
      </w:r>
    </w:p>
    <w:p w14:paraId="6F03D559" w14:textId="77777777" w:rsidR="00084208" w:rsidRDefault="00084208">
      <w:pPr>
        <w:jc w:val="both"/>
        <w:rPr>
          <w:rFonts w:ascii="Calibri Light" w:hAnsi="Calibri Light" w:cs="Calibri Light" w:hint="eastAsia"/>
          <w:bCs/>
          <w:szCs w:val="20"/>
        </w:rPr>
      </w:pPr>
    </w:p>
    <w:p w14:paraId="6F03D55A"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9. Data protection impact assessment</w:t>
      </w:r>
    </w:p>
    <w:p w14:paraId="6F03D55B"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Upon request of the Data Controller, the Data Processor shall make available all information necessary to demonstrate the Data Controller's compliance with Applicable Law, shall assist the Data Controller in carrying out data protection impact assessments pursuant to Article 35 of the GDPR, and shall cooperate in implementing the mitigation measures planned and agreed to address any risks identified. </w:t>
      </w:r>
    </w:p>
    <w:p w14:paraId="6F03D55C"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shall use its best efforts to enable the Data Controller to comply with Article 25 of the GDPR on data protection by design (so-called privacy by design) and by default (so-called privacy by default).</w:t>
      </w:r>
    </w:p>
    <w:p w14:paraId="6F03D55D" w14:textId="77777777" w:rsidR="00084208" w:rsidRDefault="00084208">
      <w:pPr>
        <w:jc w:val="both"/>
        <w:rPr>
          <w:rFonts w:ascii="Calibri Light" w:hAnsi="Calibri Light" w:cs="Calibri Light" w:hint="eastAsia"/>
          <w:b/>
          <w:bCs/>
          <w:szCs w:val="20"/>
        </w:rPr>
      </w:pPr>
    </w:p>
    <w:p w14:paraId="6F03D55E"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10. Audits and inspections by the Data Controller</w:t>
      </w:r>
    </w:p>
    <w:p w14:paraId="6F03D55F"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Data Processor shall allow the Data Controller to carry out audits and inspections of the activities performed by the Data Processor, and undertakes to make available all documentation reasonably required to demonstrate that the Data Processor and its Sub-Processors comply with the obligations set out in this Agreement.</w:t>
      </w:r>
    </w:p>
    <w:p w14:paraId="6F03D560"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On-site audits at the Data Processor's premises shall be notified at least 3 working days in advance; the Data Processor undertakes to remedy any non-conformities identified within the time limit reasonably set by the Data Controller, which shall be commensurate with the seriousness of the non-conformity.</w:t>
      </w:r>
    </w:p>
    <w:p w14:paraId="6F03D561" w14:textId="77777777" w:rsidR="00084208" w:rsidRDefault="00084208">
      <w:pPr>
        <w:jc w:val="both"/>
        <w:rPr>
          <w:rFonts w:ascii="Calibri Light" w:hAnsi="Calibri Light" w:cs="Calibri Light" w:hint="eastAsia"/>
          <w:b/>
          <w:bCs/>
          <w:szCs w:val="20"/>
        </w:rPr>
      </w:pPr>
    </w:p>
    <w:p w14:paraId="6F03D562"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11. Return and deletion of data</w:t>
      </w:r>
    </w:p>
    <w:p w14:paraId="6F03D563"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Upon completion of the Services covered by this Agreement, the Data Processor shall return the personal data to the Data Controller in accordance with the agreed methods and at no cost to the Data Controller; upon confirmation by the Data Controller that the data have been received and are intact, the Data Processor shall, without delay, delete the personal data and certify such deletion in writing, and shall ensure that its Sub-Processors have also deleted the data, providing the Data Controller with the r</w:t>
      </w:r>
      <w:r>
        <w:rPr>
          <w:rFonts w:ascii="Calibri Light" w:hAnsi="Calibri Light" w:cs="Calibri Light"/>
          <w:bCs/>
          <w:szCs w:val="20"/>
        </w:rPr>
        <w:t>elevant certification, unless Union or Member State law requires the storage of the personal data.</w:t>
      </w:r>
    </w:p>
    <w:p w14:paraId="6F03D564" w14:textId="77777777" w:rsidR="00084208" w:rsidRDefault="00084208">
      <w:pPr>
        <w:jc w:val="both"/>
        <w:rPr>
          <w:rFonts w:ascii="Calibri Light" w:hAnsi="Calibri Light" w:cs="Calibri Light" w:hint="eastAsia"/>
          <w:bCs/>
          <w:strike/>
          <w:szCs w:val="20"/>
        </w:rPr>
      </w:pPr>
    </w:p>
    <w:p w14:paraId="6F03D565"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12. Requests from authorities and data subjects</w:t>
      </w:r>
    </w:p>
    <w:p w14:paraId="6F03D566"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Unless prohibited by Applicable Law, the Data Processor shall promptly, and in any event within 2 working days, inform the Data Controller of any request, communication or complaint relating to the processing covered by this Agreement received (i) from regulatory or supervisory authorities or (ii) from any data subject, and shall provide the Data Controller, free of charge, with all necessary assistance to enable it to respond to such requests, communications or complaints within the time limits laid down b</w:t>
      </w:r>
      <w:r>
        <w:rPr>
          <w:rFonts w:ascii="Calibri Light" w:hAnsi="Calibri Light" w:cs="Calibri Light"/>
          <w:bCs/>
          <w:szCs w:val="20"/>
        </w:rPr>
        <w:t>y law.</w:t>
      </w:r>
    </w:p>
    <w:p w14:paraId="6F03D567" w14:textId="77777777" w:rsidR="00084208" w:rsidRDefault="00084208">
      <w:pPr>
        <w:jc w:val="both"/>
        <w:rPr>
          <w:rFonts w:ascii="Calibri Light" w:hAnsi="Calibri Light" w:cs="Calibri Light" w:hint="eastAsia"/>
          <w:b/>
          <w:bCs/>
          <w:szCs w:val="20"/>
        </w:rPr>
      </w:pPr>
    </w:p>
    <w:p w14:paraId="6F03D568"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13. Liability and indemnification</w:t>
      </w:r>
    </w:p>
    <w:p w14:paraId="6F03D569"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The Data Processor shall indemnify and hold the Data Controller harmless from and against any loss, cost, expense, fine and/or penalty, damage and any liability of whatever nature arising out of or in connection with any breach by the Data Processor of the provisions of this Agreement. </w:t>
      </w:r>
    </w:p>
    <w:p w14:paraId="6F03D56A"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The Data Controller, for its part, shall indemnify the Data Processor against any complaint, claim, demand or penalty brought against the latter for any infringement of Applicable Law arising exclusively from the execution of the instructions given by the Data Controller, provided, however, that the Data Processor has notified the Data Controller in advance and in </w:t>
      </w:r>
      <w:r>
        <w:rPr>
          <w:rFonts w:ascii="Calibri Light" w:hAnsi="Calibri Light" w:cs="Calibri Light"/>
          <w:bCs/>
          <w:szCs w:val="20"/>
        </w:rPr>
        <w:lastRenderedPageBreak/>
        <w:t xml:space="preserve">writing that such instructions could result in an infringement of Applicable Law and that the Data Controller, despite such notification, has nevertheless continued the processing in the original manner. </w:t>
      </w:r>
    </w:p>
    <w:p w14:paraId="6F03D56B"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Upon receipt of any complaint, claim or demand relating to the activities covered by this Agreement, the Data Processor shall:</w:t>
      </w:r>
    </w:p>
    <w:p w14:paraId="6F03D56C" w14:textId="77777777" w:rsidR="00084208" w:rsidRDefault="005D08B4">
      <w:pPr>
        <w:ind w:firstLine="360"/>
        <w:jc w:val="both"/>
        <w:rPr>
          <w:rFonts w:ascii="Calibri Light" w:hAnsi="Calibri Light" w:cs="Calibri Light" w:hint="eastAsia"/>
          <w:szCs w:val="20"/>
        </w:rPr>
      </w:pPr>
      <w:r>
        <w:rPr>
          <w:rFonts w:ascii="Calibri Light" w:hAnsi="Calibri Light" w:cs="Calibri Light"/>
          <w:szCs w:val="20"/>
        </w:rPr>
        <w:t xml:space="preserve">a) notify the Data Controller promptly in writing, and in any event no later than 2 working days after receipt; </w:t>
      </w:r>
    </w:p>
    <w:p w14:paraId="6F03D56D" w14:textId="77777777" w:rsidR="00084208" w:rsidRDefault="005D08B4">
      <w:pPr>
        <w:ind w:firstLine="360"/>
        <w:jc w:val="both"/>
        <w:rPr>
          <w:rFonts w:ascii="Calibri Light" w:hAnsi="Calibri Light" w:cs="Calibri Light" w:hint="eastAsia"/>
          <w:szCs w:val="20"/>
        </w:rPr>
      </w:pPr>
      <w:r>
        <w:rPr>
          <w:rFonts w:ascii="Calibri Light" w:hAnsi="Calibri Light" w:cs="Calibri Light"/>
          <w:szCs w:val="20"/>
        </w:rPr>
        <w:t xml:space="preserve">b) not make any admission of liability or settle the dispute without the prior written consent of the Data Controller; </w:t>
      </w:r>
    </w:p>
    <w:p w14:paraId="6F03D56E" w14:textId="77777777" w:rsidR="00084208" w:rsidRDefault="005D08B4">
      <w:pPr>
        <w:ind w:firstLine="360"/>
        <w:jc w:val="both"/>
        <w:rPr>
          <w:rFonts w:ascii="Calibri Light" w:hAnsi="Calibri Light" w:cs="Calibri Light" w:hint="eastAsia"/>
          <w:szCs w:val="20"/>
        </w:rPr>
      </w:pPr>
      <w:r>
        <w:rPr>
          <w:rFonts w:ascii="Calibri Light" w:hAnsi="Calibri Light" w:cs="Calibri Light"/>
          <w:szCs w:val="20"/>
        </w:rPr>
        <w:t>c) provide the Data Controller with all assistance it may reasonably request in handling the complaint.</w:t>
      </w:r>
    </w:p>
    <w:p w14:paraId="6F03D56F" w14:textId="77777777" w:rsidR="00084208" w:rsidRDefault="00084208">
      <w:pPr>
        <w:jc w:val="both"/>
        <w:rPr>
          <w:rFonts w:ascii="Calibri Light" w:hAnsi="Calibri Light" w:cs="Calibri Light" w:hint="eastAsia"/>
          <w:szCs w:val="20"/>
        </w:rPr>
      </w:pPr>
    </w:p>
    <w:p w14:paraId="6F03D570"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14. Duration</w:t>
      </w:r>
    </w:p>
    <w:p w14:paraId="6F03D571"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This Agreement shall enter into force on the date of its signature and shall remain in full force and effect until the termination of the Contract. Upon its entry into force, this Agreement shall also apply to any processing of personal data carried out prior to its signature. </w:t>
      </w:r>
    </w:p>
    <w:p w14:paraId="6F03D572" w14:textId="77777777" w:rsidR="00084208" w:rsidRDefault="00084208">
      <w:pPr>
        <w:jc w:val="both"/>
        <w:rPr>
          <w:rFonts w:ascii="Calibri Light" w:hAnsi="Calibri Light" w:cs="Calibri Light" w:hint="eastAsia"/>
          <w:bCs/>
          <w:szCs w:val="20"/>
        </w:rPr>
      </w:pPr>
    </w:p>
    <w:p w14:paraId="6F03D573" w14:textId="77777777" w:rsidR="00084208" w:rsidRDefault="005D08B4">
      <w:pPr>
        <w:jc w:val="both"/>
        <w:rPr>
          <w:rFonts w:ascii="Calibri Light" w:hAnsi="Calibri Light" w:cs="Calibri Light" w:hint="eastAsia"/>
          <w:b/>
          <w:szCs w:val="20"/>
        </w:rPr>
      </w:pPr>
      <w:r>
        <w:rPr>
          <w:rFonts w:ascii="Calibri Light" w:hAnsi="Calibri Light" w:cs="Calibri Light"/>
          <w:b/>
          <w:szCs w:val="20"/>
        </w:rPr>
        <w:t xml:space="preserve">15. Governing law and jurisdiction  </w:t>
      </w:r>
    </w:p>
    <w:p w14:paraId="6F03D574"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This Agreement shall be governed by and construed in accordance with Italian law. Any dispute arising out of or in connection with this Agreement shall be subject to the jurisdiction of the court competent for disputes relating to the Contract.</w:t>
      </w:r>
    </w:p>
    <w:p w14:paraId="6F03D575" w14:textId="77777777" w:rsidR="00084208" w:rsidRDefault="00084208">
      <w:pPr>
        <w:jc w:val="both"/>
        <w:rPr>
          <w:rFonts w:ascii="Calibri Light" w:hAnsi="Calibri Light" w:cs="Calibri Light" w:hint="eastAsia"/>
          <w:bCs/>
          <w:szCs w:val="20"/>
        </w:rPr>
      </w:pPr>
    </w:p>
    <w:p w14:paraId="6F03D576"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Date_________________________</w:t>
      </w:r>
    </w:p>
    <w:p w14:paraId="6F03D577" w14:textId="77777777" w:rsidR="00084208" w:rsidRDefault="00084208">
      <w:pPr>
        <w:jc w:val="both"/>
        <w:rPr>
          <w:rFonts w:ascii="Calibri Light" w:hAnsi="Calibri Light" w:cs="Calibri Light" w:hint="eastAsia"/>
          <w:bCs/>
          <w:szCs w:val="20"/>
        </w:rPr>
      </w:pPr>
    </w:p>
    <w:p w14:paraId="6F03D578"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 xml:space="preserve">Signature </w:t>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t>Signature</w:t>
      </w:r>
    </w:p>
    <w:p w14:paraId="6F03D579"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The Controller</w:t>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t>The Processor</w:t>
      </w:r>
    </w:p>
    <w:p w14:paraId="6F03D57A" w14:textId="77777777" w:rsidR="00084208" w:rsidRDefault="005D08B4">
      <w:pPr>
        <w:jc w:val="both"/>
        <w:rPr>
          <w:rFonts w:ascii="Calibri Light" w:hAnsi="Calibri Light" w:cs="Calibri Light" w:hint="eastAsia"/>
          <w:bCs/>
          <w:szCs w:val="20"/>
        </w:rPr>
      </w:pPr>
      <w:r>
        <w:rPr>
          <w:rFonts w:ascii="Calibri Light" w:hAnsi="Calibri Light" w:cs="Calibri Light"/>
          <w:bCs/>
          <w:szCs w:val="20"/>
        </w:rPr>
        <w:t>_______________________________</w:t>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r>
      <w:r>
        <w:rPr>
          <w:rFonts w:ascii="Calibri Light" w:hAnsi="Calibri Light" w:cs="Calibri Light"/>
          <w:bCs/>
          <w:szCs w:val="20"/>
        </w:rPr>
        <w:tab/>
        <w:t>___________________________</w:t>
      </w:r>
    </w:p>
    <w:sectPr w:rsidR="00084208">
      <w:headerReference w:type="even" r:id="rId10"/>
      <w:headerReference w:type="default" r:id="rId11"/>
      <w:footerReference w:type="even" r:id="rId12"/>
      <w:footerReference w:type="default" r:id="rId13"/>
      <w:headerReference w:type="first" r:id="rId14"/>
      <w:footerReference w:type="first" r:id="rId15"/>
      <w:pgSz w:w="11906" w:h="16838"/>
      <w:pgMar w:top="1440" w:right="1077" w:bottom="1440" w:left="907" w:header="851"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01226" w14:textId="77777777" w:rsidR="005D08B4" w:rsidRDefault="005D08B4">
      <w:pPr>
        <w:rPr>
          <w:rFonts w:hint="eastAsia"/>
        </w:rPr>
      </w:pPr>
      <w:r>
        <w:separator/>
      </w:r>
    </w:p>
  </w:endnote>
  <w:endnote w:type="continuationSeparator" w:id="0">
    <w:p w14:paraId="4484DCC7" w14:textId="77777777" w:rsidR="005D08B4" w:rsidRDefault="005D08B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Helvetica Neue">
    <w:altName w:val="Arial"/>
    <w:charset w:val="01"/>
    <w:family w:val="roman"/>
    <w:pitch w:val="variable"/>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1"/>
    <w:family w:val="roman"/>
    <w:pitch w:val="variable"/>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Times">
    <w:altName w:val="Times New Roman"/>
    <w:panose1 w:val="02020603050405020304"/>
    <w:charset w:val="01"/>
    <w:family w:val="roman"/>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580" w14:textId="77777777" w:rsidR="00084208" w:rsidRDefault="00084208">
    <w:pPr>
      <w:pStyle w:val="Pidipagina"/>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581" w14:textId="77777777" w:rsidR="00084208" w:rsidRDefault="00084208">
    <w:pPr>
      <w:pStyle w:val="Pidipagina"/>
      <w:rPr>
        <w:rFonts w:hint="eastAsia"/>
      </w:rPr>
    </w:pPr>
  </w:p>
  <w:p w14:paraId="6F03D582" w14:textId="77777777" w:rsidR="00084208" w:rsidRDefault="00084208">
    <w:pPr>
      <w:pStyle w:val="Pidipagina"/>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584" w14:textId="77777777" w:rsidR="00084208" w:rsidRDefault="00084208">
    <w:pPr>
      <w:pStyle w:val="Pidipagina"/>
      <w:rPr>
        <w:rFonts w:hint="eastAsia"/>
      </w:rPr>
    </w:pPr>
  </w:p>
  <w:p w14:paraId="6F03D585" w14:textId="77777777" w:rsidR="00084208" w:rsidRDefault="00084208">
    <w:pPr>
      <w:pStyle w:val="Pidipagina"/>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F2F87" w14:textId="77777777" w:rsidR="005D08B4" w:rsidRDefault="005D08B4">
      <w:pPr>
        <w:rPr>
          <w:rFonts w:hint="eastAsia"/>
        </w:rPr>
      </w:pPr>
      <w:r>
        <w:separator/>
      </w:r>
    </w:p>
  </w:footnote>
  <w:footnote w:type="continuationSeparator" w:id="0">
    <w:p w14:paraId="384519F1" w14:textId="77777777" w:rsidR="005D08B4" w:rsidRDefault="005D08B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57E" w14:textId="77777777" w:rsidR="00084208" w:rsidRDefault="00084208">
    <w:pPr>
      <w:pStyle w:val="Intestazion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57F" w14:textId="77777777" w:rsidR="00084208" w:rsidRDefault="00084208">
    <w:pPr>
      <w:pStyle w:val="Intestazione"/>
      <w:ind w:right="-36"/>
      <w:jc w:val="center"/>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3D583" w14:textId="77777777" w:rsidR="00084208" w:rsidRDefault="00084208">
    <w:pPr>
      <w:pStyle w:val="Intestazione"/>
      <w:ind w:right="-36"/>
      <w:jc w:val="cent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416B"/>
    <w:multiLevelType w:val="multilevel"/>
    <w:tmpl w:val="2D80CB86"/>
    <w:lvl w:ilvl="0">
      <w:start w:val="1"/>
      <w:numFmt w:val="bullet"/>
      <w:lvlText w:val=""/>
      <w:lvlJc w:val="left"/>
      <w:pPr>
        <w:tabs>
          <w:tab w:val="num" w:pos="0"/>
        </w:tabs>
        <w:ind w:left="765" w:hanging="360"/>
      </w:pPr>
      <w:rPr>
        <w:rFonts w:ascii="Symbol" w:hAnsi="Symbol" w:cs="Symbol" w:hint="default"/>
      </w:rPr>
    </w:lvl>
    <w:lvl w:ilvl="1">
      <w:start w:val="1"/>
      <w:numFmt w:val="bullet"/>
      <w:lvlText w:val="o"/>
      <w:lvlJc w:val="left"/>
      <w:pPr>
        <w:tabs>
          <w:tab w:val="num" w:pos="0"/>
        </w:tabs>
        <w:ind w:left="1485" w:hanging="360"/>
      </w:pPr>
      <w:rPr>
        <w:rFonts w:ascii="Courier New" w:hAnsi="Courier New" w:cs="Courier New" w:hint="default"/>
      </w:rPr>
    </w:lvl>
    <w:lvl w:ilvl="2">
      <w:start w:val="1"/>
      <w:numFmt w:val="bullet"/>
      <w:lvlText w:val=""/>
      <w:lvlJc w:val="left"/>
      <w:pPr>
        <w:tabs>
          <w:tab w:val="num" w:pos="0"/>
        </w:tabs>
        <w:ind w:left="2205" w:hanging="360"/>
      </w:pPr>
      <w:rPr>
        <w:rFonts w:ascii="Wingdings" w:hAnsi="Wingdings" w:cs="Wingdings" w:hint="default"/>
      </w:rPr>
    </w:lvl>
    <w:lvl w:ilvl="3">
      <w:start w:val="1"/>
      <w:numFmt w:val="bullet"/>
      <w:lvlText w:val=""/>
      <w:lvlJc w:val="left"/>
      <w:pPr>
        <w:tabs>
          <w:tab w:val="num" w:pos="0"/>
        </w:tabs>
        <w:ind w:left="2925" w:hanging="360"/>
      </w:pPr>
      <w:rPr>
        <w:rFonts w:ascii="Symbol" w:hAnsi="Symbol" w:cs="Symbol" w:hint="default"/>
      </w:rPr>
    </w:lvl>
    <w:lvl w:ilvl="4">
      <w:start w:val="1"/>
      <w:numFmt w:val="bullet"/>
      <w:lvlText w:val="o"/>
      <w:lvlJc w:val="left"/>
      <w:pPr>
        <w:tabs>
          <w:tab w:val="num" w:pos="0"/>
        </w:tabs>
        <w:ind w:left="3645" w:hanging="360"/>
      </w:pPr>
      <w:rPr>
        <w:rFonts w:ascii="Courier New" w:hAnsi="Courier New" w:cs="Courier New" w:hint="default"/>
      </w:rPr>
    </w:lvl>
    <w:lvl w:ilvl="5">
      <w:start w:val="1"/>
      <w:numFmt w:val="bullet"/>
      <w:lvlText w:val=""/>
      <w:lvlJc w:val="left"/>
      <w:pPr>
        <w:tabs>
          <w:tab w:val="num" w:pos="0"/>
        </w:tabs>
        <w:ind w:left="4365" w:hanging="360"/>
      </w:pPr>
      <w:rPr>
        <w:rFonts w:ascii="Wingdings" w:hAnsi="Wingdings" w:cs="Wingdings" w:hint="default"/>
      </w:rPr>
    </w:lvl>
    <w:lvl w:ilvl="6">
      <w:start w:val="1"/>
      <w:numFmt w:val="bullet"/>
      <w:lvlText w:val=""/>
      <w:lvlJc w:val="left"/>
      <w:pPr>
        <w:tabs>
          <w:tab w:val="num" w:pos="0"/>
        </w:tabs>
        <w:ind w:left="5085" w:hanging="360"/>
      </w:pPr>
      <w:rPr>
        <w:rFonts w:ascii="Symbol" w:hAnsi="Symbol" w:cs="Symbol" w:hint="default"/>
      </w:rPr>
    </w:lvl>
    <w:lvl w:ilvl="7">
      <w:start w:val="1"/>
      <w:numFmt w:val="bullet"/>
      <w:lvlText w:val="o"/>
      <w:lvlJc w:val="left"/>
      <w:pPr>
        <w:tabs>
          <w:tab w:val="num" w:pos="0"/>
        </w:tabs>
        <w:ind w:left="5805" w:hanging="360"/>
      </w:pPr>
      <w:rPr>
        <w:rFonts w:ascii="Courier New" w:hAnsi="Courier New" w:cs="Courier New" w:hint="default"/>
      </w:rPr>
    </w:lvl>
    <w:lvl w:ilvl="8">
      <w:start w:val="1"/>
      <w:numFmt w:val="bullet"/>
      <w:lvlText w:val=""/>
      <w:lvlJc w:val="left"/>
      <w:pPr>
        <w:tabs>
          <w:tab w:val="num" w:pos="0"/>
        </w:tabs>
        <w:ind w:left="6525" w:hanging="360"/>
      </w:pPr>
      <w:rPr>
        <w:rFonts w:ascii="Wingdings" w:hAnsi="Wingdings" w:cs="Wingdings" w:hint="default"/>
      </w:rPr>
    </w:lvl>
  </w:abstractNum>
  <w:abstractNum w:abstractNumId="1" w15:restartNumberingAfterBreak="0">
    <w:nsid w:val="0B2D6BB3"/>
    <w:multiLevelType w:val="multilevel"/>
    <w:tmpl w:val="23EEE3F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627747E2"/>
    <w:multiLevelType w:val="multilevel"/>
    <w:tmpl w:val="F8C8DAE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574504336">
    <w:abstractNumId w:val="0"/>
  </w:num>
  <w:num w:numId="2" w16cid:durableId="1728258642">
    <w:abstractNumId w:val="1"/>
  </w:num>
  <w:num w:numId="3" w16cid:durableId="10005497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08"/>
    <w:rsid w:val="00084208"/>
    <w:rsid w:val="0025408A"/>
    <w:rsid w:val="00402868"/>
    <w:rsid w:val="005D08B4"/>
    <w:rsid w:val="0060635E"/>
    <w:rsid w:val="00E8277D"/>
  </w:rsids>
  <m:mathPr>
    <m:mathFont m:val="Cambria Math"/>
    <m:brkBin m:val="before"/>
    <m:brkBinSub m:val="--"/>
    <m:smallFrac m:val="0"/>
    <m:dispDef/>
    <m:lMargin m:val="0"/>
    <m:rMargin m:val="0"/>
    <m:defJc m:val="centerGroup"/>
    <m:wrapIndent m:val="1440"/>
    <m:intLim m:val="subSup"/>
    <m:naryLim m:val="undOvr"/>
  </m:mathPr>
  <w:themeFontLang w:val="it-IT"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03D4E9"/>
  <w15:docId w15:val="{5F576A50-4F95-4ED5-8EE0-4AAEA1882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0115B"/>
    <w:rPr>
      <w:rFonts w:ascii="Helvetica Neue" w:hAnsi="Helvetica Neue"/>
      <w:color w:val="343654"/>
      <w:szCs w:val="24"/>
    </w:rPr>
  </w:style>
  <w:style w:type="paragraph" w:styleId="Titolo1">
    <w:name w:val="heading 1"/>
    <w:basedOn w:val="Normale"/>
    <w:next w:val="Normale"/>
    <w:link w:val="Titolo1Carattere"/>
    <w:uiPriority w:val="9"/>
    <w:qFormat/>
    <w:rsid w:val="005550C6"/>
    <w:pPr>
      <w:keepNext/>
      <w:keepLines/>
      <w:spacing w:before="480" w:line="259" w:lineRule="auto"/>
      <w:outlineLvl w:val="0"/>
    </w:pPr>
    <w:rPr>
      <w:rFonts w:asciiTheme="majorHAnsi" w:eastAsiaTheme="majorEastAsia" w:hAnsiTheme="majorHAnsi" w:cstheme="majorBidi"/>
      <w:b/>
      <w:bCs/>
      <w:color w:val="365F91" w:themeColor="accent1" w:themeShade="BF"/>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predefinitoparagrafo"/>
    <w:link w:val="Intestazione"/>
    <w:uiPriority w:val="99"/>
    <w:qFormat/>
    <w:rsid w:val="00D325F7"/>
  </w:style>
  <w:style w:type="character" w:customStyle="1" w:styleId="PidipaginaCarattere">
    <w:name w:val="Piè di pagina Carattere"/>
    <w:basedOn w:val="Carpredefinitoparagrafo"/>
    <w:link w:val="Pidipagina"/>
    <w:uiPriority w:val="99"/>
    <w:qFormat/>
    <w:rsid w:val="00D325F7"/>
  </w:style>
  <w:style w:type="character" w:customStyle="1" w:styleId="TestofumettoCarattere">
    <w:name w:val="Testo fumetto Carattere"/>
    <w:link w:val="Testofumetto"/>
    <w:uiPriority w:val="99"/>
    <w:semiHidden/>
    <w:qFormat/>
    <w:rsid w:val="00D325F7"/>
    <w:rPr>
      <w:rFonts w:ascii="Lucida Grande" w:hAnsi="Lucida Grande"/>
      <w:sz w:val="18"/>
      <w:szCs w:val="18"/>
    </w:rPr>
  </w:style>
  <w:style w:type="character" w:customStyle="1" w:styleId="CorpotestoCarattere">
    <w:name w:val="Corpo testo Carattere"/>
    <w:basedOn w:val="Carpredefinitoparagrafo"/>
    <w:link w:val="Corpotesto"/>
    <w:semiHidden/>
    <w:qFormat/>
    <w:rsid w:val="00977BA0"/>
    <w:rPr>
      <w:rFonts w:ascii="Times New Roman" w:eastAsia="Times New Roman" w:hAnsi="Times New Roman"/>
      <w:sz w:val="28"/>
      <w:lang w:eastAsia="it-IT"/>
    </w:rPr>
  </w:style>
  <w:style w:type="character" w:customStyle="1" w:styleId="adc-lom-footer-info-field-content">
    <w:name w:val="adc-lom-footer-info-field-content"/>
    <w:basedOn w:val="Carpredefinitoparagrafo"/>
    <w:qFormat/>
    <w:rsid w:val="00977BA0"/>
  </w:style>
  <w:style w:type="character" w:customStyle="1" w:styleId="TitoloCarattere">
    <w:name w:val="Titolo Carattere"/>
    <w:basedOn w:val="Carpredefinitoparagrafo"/>
    <w:link w:val="Titolo"/>
    <w:uiPriority w:val="10"/>
    <w:qFormat/>
    <w:rsid w:val="002F138B"/>
    <w:rPr>
      <w:rFonts w:asciiTheme="majorHAnsi" w:eastAsiaTheme="majorEastAsia" w:hAnsiTheme="majorHAnsi" w:cstheme="majorBidi"/>
      <w:spacing w:val="-10"/>
      <w:kern w:val="2"/>
      <w:sz w:val="56"/>
      <w:szCs w:val="56"/>
    </w:rPr>
  </w:style>
  <w:style w:type="character" w:styleId="Collegamentoipertestuale">
    <w:name w:val="Hyperlink"/>
    <w:basedOn w:val="Carpredefinitoparagrafo"/>
    <w:uiPriority w:val="99"/>
    <w:unhideWhenUsed/>
    <w:rsid w:val="00A01EB1"/>
    <w:rPr>
      <w:color w:val="0000FF" w:themeColor="hyperlink"/>
      <w:u w:val="single"/>
    </w:rPr>
  </w:style>
  <w:style w:type="character" w:styleId="Menzionenonrisolta">
    <w:name w:val="Unresolved Mention"/>
    <w:basedOn w:val="Carpredefinitoparagrafo"/>
    <w:uiPriority w:val="99"/>
    <w:semiHidden/>
    <w:unhideWhenUsed/>
    <w:qFormat/>
    <w:rsid w:val="00A01EB1"/>
    <w:rPr>
      <w:color w:val="605E5C"/>
      <w:shd w:val="clear" w:color="auto" w:fill="E1DFDD"/>
    </w:rPr>
  </w:style>
  <w:style w:type="character" w:customStyle="1" w:styleId="Titolo1Carattere">
    <w:name w:val="Titolo 1 Carattere"/>
    <w:basedOn w:val="Carpredefinitoparagrafo"/>
    <w:link w:val="Titolo1"/>
    <w:uiPriority w:val="9"/>
    <w:qFormat/>
    <w:rsid w:val="005550C6"/>
    <w:rPr>
      <w:rFonts w:asciiTheme="majorHAnsi" w:eastAsiaTheme="majorEastAsia" w:hAnsiTheme="majorHAnsi" w:cstheme="majorBidi"/>
      <w:b/>
      <w:bCs/>
      <w:color w:val="365F91" w:themeColor="accent1" w:themeShade="BF"/>
      <w:sz w:val="28"/>
      <w:szCs w:val="28"/>
    </w:rPr>
  </w:style>
  <w:style w:type="character" w:styleId="Rimandocommento">
    <w:name w:val="annotation reference"/>
    <w:basedOn w:val="Carpredefinitoparagrafo"/>
    <w:uiPriority w:val="99"/>
    <w:semiHidden/>
    <w:unhideWhenUsed/>
    <w:qFormat/>
    <w:rsid w:val="005A377B"/>
    <w:rPr>
      <w:sz w:val="16"/>
      <w:szCs w:val="16"/>
    </w:rPr>
  </w:style>
  <w:style w:type="character" w:customStyle="1" w:styleId="TestocommentoCarattere">
    <w:name w:val="Testo commento Carattere"/>
    <w:basedOn w:val="Carpredefinitoparagrafo"/>
    <w:link w:val="Testocommento"/>
    <w:uiPriority w:val="99"/>
    <w:qFormat/>
    <w:rsid w:val="005A377B"/>
    <w:rPr>
      <w:rFonts w:ascii="Helvetica Neue" w:hAnsi="Helvetica Neue"/>
      <w:color w:val="343654"/>
    </w:rPr>
  </w:style>
  <w:style w:type="character" w:customStyle="1" w:styleId="SoggettocommentoCarattere">
    <w:name w:val="Soggetto commento Carattere"/>
    <w:basedOn w:val="TestocommentoCarattere"/>
    <w:link w:val="Soggettocommento"/>
    <w:uiPriority w:val="99"/>
    <w:semiHidden/>
    <w:qFormat/>
    <w:rsid w:val="005A377B"/>
    <w:rPr>
      <w:rFonts w:ascii="Helvetica Neue" w:hAnsi="Helvetica Neue"/>
      <w:b/>
      <w:bCs/>
      <w:color w:val="343654"/>
    </w:rPr>
  </w:style>
  <w:style w:type="character" w:styleId="Numeroriga">
    <w:name w:val="line number"/>
  </w:style>
  <w:style w:type="paragraph" w:customStyle="1" w:styleId="Heading">
    <w:name w:val="Heading"/>
    <w:basedOn w:val="Normale"/>
    <w:next w:val="Corpotesto"/>
    <w:qFormat/>
    <w:pPr>
      <w:keepNext/>
      <w:spacing w:before="240" w:after="120"/>
    </w:pPr>
    <w:rPr>
      <w:rFonts w:ascii="Liberation Sans" w:eastAsia="Noto Sans CJK SC" w:hAnsi="Liberation Sans" w:cs="FreeSans"/>
      <w:sz w:val="28"/>
      <w:szCs w:val="28"/>
    </w:rPr>
  </w:style>
  <w:style w:type="paragraph" w:styleId="Corpotesto">
    <w:name w:val="Body Text"/>
    <w:basedOn w:val="Normale"/>
    <w:link w:val="CorpotestoCarattere"/>
    <w:semiHidden/>
    <w:unhideWhenUsed/>
    <w:rsid w:val="00977BA0"/>
    <w:pPr>
      <w:jc w:val="both"/>
    </w:pPr>
    <w:rPr>
      <w:rFonts w:ascii="Times New Roman" w:eastAsia="Times New Roman" w:hAnsi="Times New Roman"/>
      <w:color w:val="auto"/>
      <w:sz w:val="28"/>
      <w:szCs w:val="20"/>
      <w:lang w:eastAsia="it-IT"/>
    </w:rPr>
  </w:style>
  <w:style w:type="paragraph" w:styleId="Elenco">
    <w:name w:val="List"/>
    <w:basedOn w:val="Corpotesto"/>
    <w:rPr>
      <w:rFonts w:cs="FreeSans"/>
    </w:rPr>
  </w:style>
  <w:style w:type="paragraph" w:styleId="Didascalia">
    <w:name w:val="caption"/>
    <w:basedOn w:val="Normale"/>
    <w:qFormat/>
    <w:pPr>
      <w:suppressLineNumbers/>
      <w:spacing w:before="120" w:after="120"/>
    </w:pPr>
    <w:rPr>
      <w:rFonts w:cs="FreeSans"/>
      <w:i/>
      <w:iCs/>
      <w:sz w:val="24"/>
    </w:rPr>
  </w:style>
  <w:style w:type="paragraph" w:customStyle="1" w:styleId="Index">
    <w:name w:val="Index"/>
    <w:basedOn w:val="Normale"/>
    <w:qFormat/>
    <w:pPr>
      <w:suppressLineNumbers/>
    </w:pPr>
    <w:rPr>
      <w:rFonts w:cs="FreeSans"/>
    </w:rPr>
  </w:style>
  <w:style w:type="paragraph" w:customStyle="1" w:styleId="HeaderandFooter">
    <w:name w:val="Header and Footer"/>
    <w:basedOn w:val="Normale"/>
    <w:qFormat/>
  </w:style>
  <w:style w:type="paragraph" w:styleId="Intestazione">
    <w:name w:val="header"/>
    <w:basedOn w:val="Normale"/>
    <w:link w:val="IntestazioneCarattere"/>
    <w:uiPriority w:val="99"/>
    <w:unhideWhenUsed/>
    <w:rsid w:val="00D325F7"/>
    <w:pPr>
      <w:tabs>
        <w:tab w:val="center" w:pos="4153"/>
        <w:tab w:val="right" w:pos="8306"/>
      </w:tabs>
    </w:pPr>
  </w:style>
  <w:style w:type="paragraph" w:styleId="Pidipagina">
    <w:name w:val="footer"/>
    <w:basedOn w:val="Normale"/>
    <w:link w:val="PidipaginaCarattere"/>
    <w:uiPriority w:val="99"/>
    <w:unhideWhenUsed/>
    <w:rsid w:val="00D325F7"/>
    <w:pPr>
      <w:tabs>
        <w:tab w:val="center" w:pos="4153"/>
        <w:tab w:val="right" w:pos="8306"/>
      </w:tabs>
    </w:pPr>
  </w:style>
  <w:style w:type="paragraph" w:styleId="Testofumetto">
    <w:name w:val="Balloon Text"/>
    <w:basedOn w:val="Normale"/>
    <w:link w:val="TestofumettoCarattere"/>
    <w:uiPriority w:val="99"/>
    <w:semiHidden/>
    <w:unhideWhenUsed/>
    <w:qFormat/>
    <w:rsid w:val="00D325F7"/>
    <w:rPr>
      <w:rFonts w:ascii="Lucida Grande" w:hAnsi="Lucida Grande"/>
      <w:sz w:val="18"/>
      <w:szCs w:val="18"/>
    </w:rPr>
  </w:style>
  <w:style w:type="paragraph" w:styleId="NormaleWeb">
    <w:name w:val="Normal (Web)"/>
    <w:basedOn w:val="Normale"/>
    <w:uiPriority w:val="99"/>
    <w:semiHidden/>
    <w:unhideWhenUsed/>
    <w:qFormat/>
    <w:rsid w:val="007536CC"/>
    <w:pPr>
      <w:spacing w:beforeAutospacing="1" w:afterAutospacing="1"/>
    </w:pPr>
    <w:rPr>
      <w:rFonts w:ascii="Times" w:hAnsi="Times"/>
      <w:szCs w:val="20"/>
    </w:rPr>
  </w:style>
  <w:style w:type="paragraph" w:styleId="Titolo">
    <w:name w:val="Title"/>
    <w:basedOn w:val="Normale"/>
    <w:next w:val="Normale"/>
    <w:link w:val="TitoloCarattere"/>
    <w:uiPriority w:val="10"/>
    <w:qFormat/>
    <w:rsid w:val="002F138B"/>
    <w:pPr>
      <w:contextualSpacing/>
    </w:pPr>
    <w:rPr>
      <w:rFonts w:asciiTheme="majorHAnsi" w:eastAsiaTheme="majorEastAsia" w:hAnsiTheme="majorHAnsi" w:cstheme="majorBidi"/>
      <w:color w:val="auto"/>
      <w:spacing w:val="-10"/>
      <w:kern w:val="2"/>
      <w:sz w:val="56"/>
      <w:szCs w:val="56"/>
    </w:rPr>
  </w:style>
  <w:style w:type="paragraph" w:styleId="Paragrafoelenco">
    <w:name w:val="List Paragraph"/>
    <w:basedOn w:val="Normale"/>
    <w:uiPriority w:val="34"/>
    <w:qFormat/>
    <w:rsid w:val="005550C6"/>
    <w:pPr>
      <w:spacing w:after="160" w:line="259" w:lineRule="auto"/>
      <w:ind w:left="720"/>
      <w:contextualSpacing/>
    </w:pPr>
    <w:rPr>
      <w:rFonts w:asciiTheme="minorHAnsi" w:eastAsiaTheme="minorHAnsi" w:hAnsiTheme="minorHAnsi" w:cstheme="minorBidi"/>
      <w:color w:val="auto"/>
      <w:sz w:val="22"/>
      <w:szCs w:val="22"/>
    </w:rPr>
  </w:style>
  <w:style w:type="paragraph" w:styleId="Testocommento">
    <w:name w:val="annotation text"/>
    <w:basedOn w:val="Normale"/>
    <w:link w:val="TestocommentoCarattere"/>
    <w:uiPriority w:val="99"/>
    <w:unhideWhenUsed/>
    <w:rsid w:val="005A377B"/>
    <w:rPr>
      <w:szCs w:val="20"/>
    </w:rPr>
  </w:style>
  <w:style w:type="paragraph" w:styleId="Soggettocommento">
    <w:name w:val="annotation subject"/>
    <w:basedOn w:val="Testocommento"/>
    <w:next w:val="Testocommento"/>
    <w:link w:val="SoggettocommentoCarattere"/>
    <w:uiPriority w:val="99"/>
    <w:semiHidden/>
    <w:unhideWhenUsed/>
    <w:qFormat/>
    <w:rsid w:val="005A377B"/>
    <w:rPr>
      <w:b/>
      <w:bCs/>
    </w:rPr>
  </w:style>
  <w:style w:type="table" w:styleId="Grigliatabella">
    <w:name w:val="Table Grid"/>
    <w:basedOn w:val="Tabellanormale"/>
    <w:uiPriority w:val="59"/>
    <w:rsid w:val="00E2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1104A7A404B3D49B929156DAD66C976" ma:contentTypeVersion="12" ma:contentTypeDescription="Creare un nuovo documento." ma:contentTypeScope="" ma:versionID="8e934f2538f66e34c5f44e8799d87f4f">
  <xsd:schema xmlns:xsd="http://www.w3.org/2001/XMLSchema" xmlns:xs="http://www.w3.org/2001/XMLSchema" xmlns:p="http://schemas.microsoft.com/office/2006/metadata/properties" xmlns:ns2="f086e897-dee3-45d1-b672-95b8d74e4258" xmlns:ns3="007e1a64-b623-43b0-ade1-a8b10655d664" targetNamespace="http://schemas.microsoft.com/office/2006/metadata/properties" ma:root="true" ma:fieldsID="e9bd6b5540c2d75414dd232053442ab3" ns2:_="" ns3:_="">
    <xsd:import namespace="f086e897-dee3-45d1-b672-95b8d74e4258"/>
    <xsd:import namespace="007e1a64-b623-43b0-ade1-a8b10655d6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86e897-dee3-45d1-b672-95b8d74e42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4660a4c7-4847-48d0-a8df-5abbda56847c"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7e1a64-b623-43b0-ade1-a8b10655d6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f05127-d183-4995-b307-57b5d0f5e03f}" ma:internalName="TaxCatchAll" ma:showField="CatchAllData" ma:web="007e1a64-b623-43b0-ade1-a8b10655d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86e897-dee3-45d1-b672-95b8d74e4258">
      <Terms xmlns="http://schemas.microsoft.com/office/infopath/2007/PartnerControls"/>
    </lcf76f155ced4ddcb4097134ff3c332f>
    <TaxCatchAll xmlns="007e1a64-b623-43b0-ade1-a8b10655d66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C6B367-E054-4B9B-AFDD-427C1B374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86e897-dee3-45d1-b672-95b8d74e4258"/>
    <ds:schemaRef ds:uri="007e1a64-b623-43b0-ade1-a8b10655d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2F1C32-E3DC-4C7D-9691-9187D1ACA810}">
  <ds:schemaRefs>
    <ds:schemaRef ds:uri="http://schemas.microsoft.com/office/2006/metadata/properties"/>
    <ds:schemaRef ds:uri="http://schemas.microsoft.com/office/infopath/2007/PartnerControls"/>
    <ds:schemaRef ds:uri="f086e897-dee3-45d1-b672-95b8d74e4258"/>
    <ds:schemaRef ds:uri="007e1a64-b623-43b0-ade1-a8b10655d664"/>
  </ds:schemaRefs>
</ds:datastoreItem>
</file>

<file path=customXml/itemProps3.xml><?xml version="1.0" encoding="utf-8"?>
<ds:datastoreItem xmlns:ds="http://schemas.openxmlformats.org/officeDocument/2006/customXml" ds:itemID="{5500DBF8-BD98-4E03-ADEE-E678A906DA7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5</Pages>
  <Words>2948</Words>
  <Characters>16805</Characters>
  <Application>Microsoft Office Word</Application>
  <DocSecurity>0</DocSecurity>
  <Lines>140</Lines>
  <Paragraphs>39</Paragraphs>
  <ScaleCrop>false</ScaleCrop>
  <Company/>
  <LinksUpToDate>false</LinksUpToDate>
  <CharactersWithSpaces>19714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VEZZOSI Tommaso Maria</dc:creator>
  <dc:description/>
  <cp:lastModifiedBy>Francesca Preite</cp:lastModifiedBy>
  <cp:revision>20</cp:revision>
  <cp:lastPrinted>2017-12-18T13:17:00Z</cp:lastPrinted>
  <dcterms:created xsi:type="dcterms:W3CDTF">2025-07-13T20:03:00Z</dcterms:created>
  <dcterms:modified xsi:type="dcterms:W3CDTF">2026-09-22T20:35:00Z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0x01010041104A7A404B3D49B929156DAD66C976</vt:lpwstr>
  </property>
  <property fmtid="{D5CDD505-2E9C-101B-9397-08002B2CF9AE}" pid="3" name="MSIP_Label_55765e7c-a9dd-4e6b-8420-68c9aede0a06_ActionId">
    <vt:lpwstr>e87a6a00-23ff-4270-8406-ad7ead81670b</vt:lpwstr>
  </property>
  <property fmtid="{D5CDD505-2E9C-101B-9397-08002B2CF9AE}" pid="4" name="MSIP_Label_55765e7c-a9dd-4e6b-8420-68c9aede0a06_ContentBits">
    <vt:lpwstr>0</vt:lpwstr>
  </property>
  <property fmtid="{D5CDD505-2E9C-101B-9397-08002B2CF9AE}" pid="5" name="MSIP_Label_55765e7c-a9dd-4e6b-8420-68c9aede0a06_Enabled">
    <vt:lpwstr>true</vt:lpwstr>
  </property>
  <property fmtid="{D5CDD505-2E9C-101B-9397-08002B2CF9AE}" pid="6" name="MSIP_Label_55765e7c-a9dd-4e6b-8420-68c9aede0a06_Method">
    <vt:lpwstr>Privileged</vt:lpwstr>
  </property>
  <property fmtid="{D5CDD505-2E9C-101B-9397-08002B2CF9AE}" pid="7" name="MSIP_Label_55765e7c-a9dd-4e6b-8420-68c9aede0a06_Name">
    <vt:lpwstr>Public</vt:lpwstr>
  </property>
  <property fmtid="{D5CDD505-2E9C-101B-9397-08002B2CF9AE}" pid="8" name="MSIP_Label_55765e7c-a9dd-4e6b-8420-68c9aede0a06_SetDate">
    <vt:lpwstr>2021-05-24T12:06:42Z</vt:lpwstr>
  </property>
  <property fmtid="{D5CDD505-2E9C-101B-9397-08002B2CF9AE}" pid="9" name="MSIP_Label_55765e7c-a9dd-4e6b-8420-68c9aede0a06_SiteId">
    <vt:lpwstr>5d2d3f03-286e-4643-8f5b-10565608e5f8</vt:lpwstr>
  </property>
  <property fmtid="{D5CDD505-2E9C-101B-9397-08002B2CF9AE}" pid="10" name="MediaServiceImageTags">
    <vt:lpwstr/>
  </property>
</Properties>
</file>